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92DD3" w14:textId="77777777" w:rsidR="005C5892" w:rsidRDefault="00E27044">
      <w:bookmarkStart w:id="0" w:name="_GoBack"/>
      <w:r>
        <w:t xml:space="preserve">Design Requirements  </w:t>
      </w:r>
    </w:p>
    <w:p w14:paraId="52CFEDD0" w14:textId="77777777" w:rsidR="00E27044" w:rsidRPr="00E27044" w:rsidRDefault="00E27044" w:rsidP="00E27044">
      <w:pPr>
        <w:pStyle w:val="ListParagraph"/>
        <w:numPr>
          <w:ilvl w:val="0"/>
          <w:numId w:val="1"/>
        </w:numPr>
        <w:rPr>
          <w:rStyle w:val="normaltextrun"/>
        </w:rPr>
      </w:pPr>
      <w:r w:rsidRPr="00E27044">
        <w:rPr>
          <w:rStyle w:val="normaltextrun"/>
          <w:color w:val="000000"/>
          <w:shd w:val="clear" w:color="auto" w:fill="FFFFFF"/>
        </w:rPr>
        <w:t xml:space="preserve">Each independently recovered launch vehicle body anticipated to reach an apogee above 1,500 ft (457 m) above ground level (AGL) shall follow a "dual-event" recovery operations concept (CONOPS), including an initial deployment event and a main deployment </w:t>
      </w:r>
    </w:p>
    <w:p w14:paraId="0DE32FA3" w14:textId="77777777" w:rsidR="00E27044" w:rsidRPr="00E27044" w:rsidRDefault="00E27044" w:rsidP="00E27044">
      <w:pPr>
        <w:pStyle w:val="ListParagraph"/>
        <w:numPr>
          <w:ilvl w:val="0"/>
          <w:numId w:val="1"/>
        </w:numPr>
        <w:rPr>
          <w:rStyle w:val="normaltextrun"/>
        </w:rPr>
      </w:pPr>
      <w:r w:rsidRPr="00E27044">
        <w:rPr>
          <w:rStyle w:val="normaltextrun"/>
          <w:color w:val="000000"/>
          <w:shd w:val="clear" w:color="auto" w:fill="FFFFFF"/>
        </w:rPr>
        <w:t>The initial deployment event shall occur at or near apogee, stabilize the vehicle's attitude</w:t>
      </w:r>
      <w:r>
        <w:rPr>
          <w:rStyle w:val="normaltextrun"/>
          <w:color w:val="000000"/>
          <w:shd w:val="clear" w:color="auto" w:fill="FFFFFF"/>
        </w:rPr>
        <w:t xml:space="preserve">, </w:t>
      </w:r>
      <w:r w:rsidRPr="00E27044">
        <w:rPr>
          <w:rStyle w:val="normaltextrun"/>
          <w:color w:val="000000"/>
          <w:shd w:val="clear" w:color="auto" w:fill="FFFFFF"/>
        </w:rPr>
        <w:t>and reduce its descent rate enough to permit the main deployment event yet not so much as to exacerbate wind drift</w:t>
      </w:r>
      <w:r w:rsidRPr="00E27044">
        <w:rPr>
          <w:rStyle w:val="normaltextrun"/>
          <w:color w:val="000000"/>
          <w:shd w:val="clear" w:color="auto" w:fill="FFFFFF"/>
        </w:rPr>
        <w:t>.</w:t>
      </w:r>
    </w:p>
    <w:p w14:paraId="5FA74958" w14:textId="77777777" w:rsidR="00E27044" w:rsidRPr="00E27044" w:rsidRDefault="00E27044" w:rsidP="00E27044">
      <w:pPr>
        <w:pStyle w:val="ListParagraph"/>
        <w:numPr>
          <w:ilvl w:val="0"/>
          <w:numId w:val="1"/>
        </w:numPr>
        <w:rPr>
          <w:rStyle w:val="eop"/>
        </w:rPr>
      </w:pPr>
      <w:r>
        <w:rPr>
          <w:rStyle w:val="normaltextrun"/>
          <w:color w:val="000000"/>
          <w:shd w:val="clear" w:color="auto" w:fill="FFFFFF"/>
        </w:rPr>
        <w:t xml:space="preserve">The main deployment event shall occur at an altitude no higher than 1,500 </w:t>
      </w:r>
      <w:r>
        <w:rPr>
          <w:rStyle w:val="normaltextrun"/>
          <w:color w:val="000000"/>
          <w:shd w:val="clear" w:color="auto" w:fill="FFFFFF"/>
        </w:rPr>
        <w:t>ft</w:t>
      </w:r>
      <w:r>
        <w:rPr>
          <w:rStyle w:val="normaltextrun"/>
          <w:color w:val="000000"/>
          <w:shd w:val="clear" w:color="auto" w:fill="FFFFFF"/>
        </w:rPr>
        <w:t xml:space="preserve"> AGL and reduce the vehicle's descent rate sufficiently to prevent excessive damage upon impact with ground</w:t>
      </w:r>
      <w:r>
        <w:rPr>
          <w:rStyle w:val="normaltextrun"/>
          <w:color w:val="000000"/>
          <w:shd w:val="clear" w:color="auto" w:fill="FFFFFF"/>
        </w:rPr>
        <w:t>.</w:t>
      </w:r>
      <w:r>
        <w:rPr>
          <w:rStyle w:val="normaltextrun"/>
          <w:color w:val="000000"/>
          <w:shd w:val="clear" w:color="auto" w:fill="FFFFFF"/>
        </w:rPr>
        <w:t> </w:t>
      </w:r>
      <w:r>
        <w:rPr>
          <w:rStyle w:val="eop"/>
          <w:color w:val="000000"/>
          <w:shd w:val="clear" w:color="auto" w:fill="FFFFFF"/>
        </w:rPr>
        <w:t> </w:t>
      </w:r>
    </w:p>
    <w:p w14:paraId="2FB59999" w14:textId="77777777" w:rsidR="00E27044" w:rsidRPr="00E27044" w:rsidRDefault="00E27044" w:rsidP="00E27044">
      <w:pPr>
        <w:pStyle w:val="ListParagraph"/>
        <w:numPr>
          <w:ilvl w:val="0"/>
          <w:numId w:val="1"/>
        </w:numPr>
        <w:rPr>
          <w:rStyle w:val="normaltextrun"/>
        </w:rPr>
      </w:pPr>
      <w:r>
        <w:rPr>
          <w:rStyle w:val="normaltextrun"/>
          <w:color w:val="000000"/>
          <w:bdr w:val="none" w:sz="0" w:space="0" w:color="auto" w:frame="1"/>
        </w:rPr>
        <w:t>At least one redundant recovery system electronics subsystem shall implement a COTS flight computer</w:t>
      </w:r>
    </w:p>
    <w:p w14:paraId="64D25A3F" w14:textId="77777777" w:rsidR="00E27044" w:rsidRPr="00E27044" w:rsidRDefault="00E27044" w:rsidP="00E27044">
      <w:pPr>
        <w:pStyle w:val="ListParagraph"/>
        <w:numPr>
          <w:ilvl w:val="0"/>
          <w:numId w:val="1"/>
        </w:numPr>
        <w:rPr>
          <w:rStyle w:val="eop"/>
        </w:rPr>
      </w:pPr>
      <w:r>
        <w:rPr>
          <w:rStyle w:val="normaltextrun"/>
          <w:color w:val="000000"/>
          <w:shd w:val="clear" w:color="auto" w:fill="FFFFFF"/>
        </w:rPr>
        <w:t>The recovery system shall implement adequate to prevent hot ejection gases from causing burn damage to retaining chords, parachutes, and other vital components as the specific design demands. </w:t>
      </w:r>
      <w:r>
        <w:rPr>
          <w:rStyle w:val="eop"/>
          <w:color w:val="000000"/>
          <w:shd w:val="clear" w:color="auto" w:fill="FFFFFF"/>
        </w:rPr>
        <w:t> </w:t>
      </w:r>
    </w:p>
    <w:p w14:paraId="74DD10A7" w14:textId="77777777" w:rsidR="00E27044" w:rsidRDefault="00E27044" w:rsidP="00E27044">
      <w:r>
        <w:t xml:space="preserve">Dual Deployment – Dual Detachment </w:t>
      </w:r>
    </w:p>
    <w:p w14:paraId="5FD4DAD7" w14:textId="77777777" w:rsidR="00E27044" w:rsidRDefault="00E27044" w:rsidP="00E27044">
      <w:r w:rsidRPr="00E27044">
        <w:drawing>
          <wp:inline distT="0" distB="0" distL="0" distR="0" wp14:anchorId="2BA7CE0E" wp14:editId="5F98C148">
            <wp:extent cx="5943600" cy="3084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84195"/>
                    </a:xfrm>
                    <a:prstGeom prst="rect">
                      <a:avLst/>
                    </a:prstGeom>
                  </pic:spPr>
                </pic:pic>
              </a:graphicData>
            </a:graphic>
          </wp:inline>
        </w:drawing>
      </w:r>
    </w:p>
    <w:p w14:paraId="03DC53D5" w14:textId="77777777" w:rsidR="00E27044" w:rsidRDefault="00E27044" w:rsidP="00E27044">
      <w:r>
        <w:t xml:space="preserve">Components: </w:t>
      </w:r>
    </w:p>
    <w:p w14:paraId="3688D12B" w14:textId="77777777" w:rsidR="00E27044" w:rsidRDefault="00E27044" w:rsidP="00E27044"/>
    <w:tbl>
      <w:tblPr>
        <w:tblStyle w:val="TableGrid"/>
        <w:tblW w:w="0" w:type="auto"/>
        <w:tblLook w:val="04A0" w:firstRow="1" w:lastRow="0" w:firstColumn="1" w:lastColumn="0" w:noHBand="0" w:noVBand="1"/>
      </w:tblPr>
      <w:tblGrid>
        <w:gridCol w:w="2812"/>
        <w:gridCol w:w="2200"/>
        <w:gridCol w:w="2169"/>
        <w:gridCol w:w="2169"/>
      </w:tblGrid>
      <w:tr w:rsidR="00BD7A56" w14:paraId="15736BA0" w14:textId="77777777" w:rsidTr="00D6673F">
        <w:tc>
          <w:tcPr>
            <w:tcW w:w="2812" w:type="dxa"/>
          </w:tcPr>
          <w:p w14:paraId="39CD40B4" w14:textId="77777777" w:rsidR="00BD7A56" w:rsidRDefault="00BD7A56" w:rsidP="00D6673F">
            <w:r>
              <w:t xml:space="preserve">Component </w:t>
            </w:r>
          </w:p>
        </w:tc>
        <w:tc>
          <w:tcPr>
            <w:tcW w:w="2200" w:type="dxa"/>
          </w:tcPr>
          <w:p w14:paraId="12380A51" w14:textId="77777777" w:rsidR="00BD7A56" w:rsidRDefault="00BD7A56" w:rsidP="00D6673F">
            <w:r>
              <w:t>Quantity</w:t>
            </w:r>
          </w:p>
        </w:tc>
        <w:tc>
          <w:tcPr>
            <w:tcW w:w="2169" w:type="dxa"/>
          </w:tcPr>
          <w:p w14:paraId="0AF07F80" w14:textId="77777777" w:rsidR="00BD7A56" w:rsidRDefault="00BD7A56" w:rsidP="00D6673F">
            <w:r>
              <w:t>Price per Component</w:t>
            </w:r>
          </w:p>
        </w:tc>
        <w:tc>
          <w:tcPr>
            <w:tcW w:w="2169" w:type="dxa"/>
          </w:tcPr>
          <w:p w14:paraId="4757FC36" w14:textId="77777777" w:rsidR="00BD7A56" w:rsidRDefault="00BD7A56" w:rsidP="00D6673F">
            <w:r>
              <w:t>Total Price</w:t>
            </w:r>
          </w:p>
        </w:tc>
      </w:tr>
      <w:tr w:rsidR="00BD7A56" w14:paraId="34DCD297" w14:textId="77777777" w:rsidTr="00D6673F">
        <w:tc>
          <w:tcPr>
            <w:tcW w:w="2812" w:type="dxa"/>
          </w:tcPr>
          <w:p w14:paraId="07F4A1F6" w14:textId="77777777" w:rsidR="00BD7A56" w:rsidRDefault="00BD7A56" w:rsidP="00D6673F">
            <w:r>
              <w:t>CO</w:t>
            </w:r>
            <w:r>
              <w:rPr>
                <w:vertAlign w:val="subscript"/>
              </w:rPr>
              <w:t>2</w:t>
            </w:r>
            <w:r>
              <w:t xml:space="preserve"> Raptor</w:t>
            </w:r>
          </w:p>
        </w:tc>
        <w:tc>
          <w:tcPr>
            <w:tcW w:w="2200" w:type="dxa"/>
          </w:tcPr>
          <w:p w14:paraId="4EF5FCC2" w14:textId="77777777" w:rsidR="00BD7A56" w:rsidRDefault="00BD7A56" w:rsidP="00D6673F">
            <w:r>
              <w:t>4</w:t>
            </w:r>
          </w:p>
        </w:tc>
        <w:tc>
          <w:tcPr>
            <w:tcW w:w="2169" w:type="dxa"/>
          </w:tcPr>
          <w:p w14:paraId="4DEE86A0" w14:textId="77777777" w:rsidR="00BD7A56" w:rsidRDefault="00BD7A56" w:rsidP="00D6673F">
            <w:r>
              <w:t>$158.00</w:t>
            </w:r>
          </w:p>
        </w:tc>
        <w:tc>
          <w:tcPr>
            <w:tcW w:w="2169" w:type="dxa"/>
          </w:tcPr>
          <w:p w14:paraId="52AF9465" w14:textId="77777777" w:rsidR="00BD7A56" w:rsidRDefault="00BD7A56" w:rsidP="00D6673F">
            <w:r>
              <w:t>$</w:t>
            </w:r>
            <w:r>
              <w:t>632</w:t>
            </w:r>
            <w:r>
              <w:t>.00</w:t>
            </w:r>
          </w:p>
        </w:tc>
      </w:tr>
      <w:tr w:rsidR="00BD7A56" w14:paraId="77D5EF4E" w14:textId="77777777" w:rsidTr="00D6673F">
        <w:tc>
          <w:tcPr>
            <w:tcW w:w="2812" w:type="dxa"/>
          </w:tcPr>
          <w:p w14:paraId="1687B3EA" w14:textId="77777777" w:rsidR="00BD7A56" w:rsidRDefault="00BD7A56" w:rsidP="00D6673F">
            <w:r>
              <w:t>30” Elliptical Parachute</w:t>
            </w:r>
          </w:p>
        </w:tc>
        <w:tc>
          <w:tcPr>
            <w:tcW w:w="2200" w:type="dxa"/>
          </w:tcPr>
          <w:p w14:paraId="6F0DCF4D" w14:textId="77777777" w:rsidR="00BD7A56" w:rsidRDefault="00BD7A56" w:rsidP="00D6673F">
            <w:r>
              <w:t>1</w:t>
            </w:r>
          </w:p>
        </w:tc>
        <w:tc>
          <w:tcPr>
            <w:tcW w:w="2169" w:type="dxa"/>
          </w:tcPr>
          <w:p w14:paraId="7FD6BF1F" w14:textId="77777777" w:rsidR="00BD7A56" w:rsidRDefault="00BD7A56" w:rsidP="00D6673F">
            <w:r>
              <w:t>$71.00</w:t>
            </w:r>
          </w:p>
        </w:tc>
        <w:tc>
          <w:tcPr>
            <w:tcW w:w="2169" w:type="dxa"/>
          </w:tcPr>
          <w:p w14:paraId="6C6EF5BB" w14:textId="77777777" w:rsidR="00BD7A56" w:rsidRDefault="00BD7A56" w:rsidP="00D6673F">
            <w:r>
              <w:t>$71.00</w:t>
            </w:r>
          </w:p>
        </w:tc>
      </w:tr>
      <w:tr w:rsidR="00BD7A56" w14:paraId="536E4FBB" w14:textId="77777777" w:rsidTr="00D6673F">
        <w:tc>
          <w:tcPr>
            <w:tcW w:w="2812" w:type="dxa"/>
          </w:tcPr>
          <w:p w14:paraId="654A8496" w14:textId="77777777" w:rsidR="00BD7A56" w:rsidRDefault="00BD7A56" w:rsidP="00D6673F">
            <w:r>
              <w:t>120” Iris Ultra Standard Parachute</w:t>
            </w:r>
          </w:p>
        </w:tc>
        <w:tc>
          <w:tcPr>
            <w:tcW w:w="2200" w:type="dxa"/>
          </w:tcPr>
          <w:p w14:paraId="76CD5511" w14:textId="77777777" w:rsidR="00BD7A56" w:rsidRDefault="00BD7A56" w:rsidP="00D6673F">
            <w:r>
              <w:t>1</w:t>
            </w:r>
          </w:p>
        </w:tc>
        <w:tc>
          <w:tcPr>
            <w:tcW w:w="2169" w:type="dxa"/>
          </w:tcPr>
          <w:p w14:paraId="3E456091" w14:textId="77777777" w:rsidR="00BD7A56" w:rsidRDefault="00BD7A56" w:rsidP="00D6673F">
            <w:r>
              <w:t>$432.46</w:t>
            </w:r>
          </w:p>
        </w:tc>
        <w:tc>
          <w:tcPr>
            <w:tcW w:w="2169" w:type="dxa"/>
          </w:tcPr>
          <w:p w14:paraId="06966A07" w14:textId="77777777" w:rsidR="00BD7A56" w:rsidRDefault="00BD7A56" w:rsidP="00D6673F">
            <w:r>
              <w:t>$432.46</w:t>
            </w:r>
          </w:p>
        </w:tc>
      </w:tr>
      <w:tr w:rsidR="00BD7A56" w14:paraId="786D7361" w14:textId="77777777" w:rsidTr="00D6673F">
        <w:tc>
          <w:tcPr>
            <w:tcW w:w="2812" w:type="dxa"/>
          </w:tcPr>
          <w:p w14:paraId="49F593D2" w14:textId="77777777" w:rsidR="00BD7A56" w:rsidRDefault="00BD7A56" w:rsidP="00D6673F">
            <w:r>
              <w:t>Bulkheads</w:t>
            </w:r>
          </w:p>
        </w:tc>
        <w:tc>
          <w:tcPr>
            <w:tcW w:w="2200" w:type="dxa"/>
          </w:tcPr>
          <w:p w14:paraId="6D34C5CA" w14:textId="77777777" w:rsidR="00BD7A56" w:rsidRDefault="00BD7A56" w:rsidP="00D6673F">
            <w:r>
              <w:t>1</w:t>
            </w:r>
          </w:p>
        </w:tc>
        <w:tc>
          <w:tcPr>
            <w:tcW w:w="2169" w:type="dxa"/>
          </w:tcPr>
          <w:p w14:paraId="1C94C2CE" w14:textId="77777777" w:rsidR="00BD7A56" w:rsidRDefault="00BD7A56" w:rsidP="00D6673F"/>
        </w:tc>
        <w:tc>
          <w:tcPr>
            <w:tcW w:w="2169" w:type="dxa"/>
          </w:tcPr>
          <w:p w14:paraId="12022C62" w14:textId="77777777" w:rsidR="00BD7A56" w:rsidRDefault="00BD7A56" w:rsidP="00D6673F"/>
        </w:tc>
      </w:tr>
      <w:tr w:rsidR="00BD7A56" w14:paraId="0794CE72" w14:textId="77777777" w:rsidTr="00D6673F">
        <w:tc>
          <w:tcPr>
            <w:tcW w:w="2812" w:type="dxa"/>
          </w:tcPr>
          <w:p w14:paraId="19F050E5" w14:textId="77777777" w:rsidR="00BD7A56" w:rsidRDefault="00BD7A56" w:rsidP="00D6673F">
            <w:proofErr w:type="spellStart"/>
            <w:r>
              <w:t>TeleMega</w:t>
            </w:r>
            <w:proofErr w:type="spellEnd"/>
          </w:p>
        </w:tc>
        <w:tc>
          <w:tcPr>
            <w:tcW w:w="2200" w:type="dxa"/>
          </w:tcPr>
          <w:p w14:paraId="335C1006" w14:textId="77777777" w:rsidR="00BD7A56" w:rsidRDefault="00BD7A56" w:rsidP="00D6673F">
            <w:r>
              <w:t>1</w:t>
            </w:r>
          </w:p>
        </w:tc>
        <w:tc>
          <w:tcPr>
            <w:tcW w:w="2169" w:type="dxa"/>
          </w:tcPr>
          <w:p w14:paraId="6DDF7DCF" w14:textId="77777777" w:rsidR="00BD7A56" w:rsidRDefault="00BD7A56" w:rsidP="00D6673F">
            <w:r>
              <w:t>$400</w:t>
            </w:r>
          </w:p>
        </w:tc>
        <w:tc>
          <w:tcPr>
            <w:tcW w:w="2169" w:type="dxa"/>
          </w:tcPr>
          <w:p w14:paraId="31EA60EA" w14:textId="77777777" w:rsidR="00BD7A56" w:rsidRDefault="00BD7A56" w:rsidP="00D6673F">
            <w:r>
              <w:t>$400</w:t>
            </w:r>
          </w:p>
        </w:tc>
      </w:tr>
      <w:tr w:rsidR="00BD7A56" w14:paraId="2104114D" w14:textId="77777777" w:rsidTr="00D6673F">
        <w:tc>
          <w:tcPr>
            <w:tcW w:w="2812" w:type="dxa"/>
          </w:tcPr>
          <w:p w14:paraId="72C0B24B" w14:textId="77777777" w:rsidR="00BD7A56" w:rsidRDefault="00BD7A56" w:rsidP="00D6673F">
            <w:proofErr w:type="spellStart"/>
            <w:r>
              <w:lastRenderedPageBreak/>
              <w:t>StratoLogger</w:t>
            </w:r>
            <w:proofErr w:type="spellEnd"/>
          </w:p>
        </w:tc>
        <w:tc>
          <w:tcPr>
            <w:tcW w:w="2200" w:type="dxa"/>
          </w:tcPr>
          <w:p w14:paraId="6584E101" w14:textId="77777777" w:rsidR="00BD7A56" w:rsidRDefault="00BD7A56" w:rsidP="00D6673F">
            <w:r>
              <w:t>1</w:t>
            </w:r>
          </w:p>
        </w:tc>
        <w:tc>
          <w:tcPr>
            <w:tcW w:w="2169" w:type="dxa"/>
          </w:tcPr>
          <w:p w14:paraId="35B8C3A6" w14:textId="77777777" w:rsidR="00BD7A56" w:rsidRDefault="00BD7A56" w:rsidP="00D6673F">
            <w:r>
              <w:t>$69.95</w:t>
            </w:r>
          </w:p>
        </w:tc>
        <w:tc>
          <w:tcPr>
            <w:tcW w:w="2169" w:type="dxa"/>
          </w:tcPr>
          <w:p w14:paraId="0C367A72" w14:textId="77777777" w:rsidR="00BD7A56" w:rsidRDefault="00BD7A56" w:rsidP="00D6673F">
            <w:r>
              <w:t>$69.95</w:t>
            </w:r>
          </w:p>
        </w:tc>
      </w:tr>
      <w:tr w:rsidR="00BD7A56" w14:paraId="69BED60E" w14:textId="77777777" w:rsidTr="00D6673F">
        <w:tc>
          <w:tcPr>
            <w:tcW w:w="2812" w:type="dxa"/>
          </w:tcPr>
          <w:p w14:paraId="34187F0E" w14:textId="77777777" w:rsidR="00BD7A56" w:rsidRDefault="00BD7A56" w:rsidP="00D6673F">
            <w:r>
              <w:t>Tender Descender</w:t>
            </w:r>
          </w:p>
        </w:tc>
        <w:tc>
          <w:tcPr>
            <w:tcW w:w="2200" w:type="dxa"/>
          </w:tcPr>
          <w:p w14:paraId="2ACF0BE3" w14:textId="77777777" w:rsidR="00BD7A56" w:rsidRDefault="00BD7A56" w:rsidP="00D6673F">
            <w:r>
              <w:t>1</w:t>
            </w:r>
          </w:p>
        </w:tc>
        <w:tc>
          <w:tcPr>
            <w:tcW w:w="2169" w:type="dxa"/>
          </w:tcPr>
          <w:p w14:paraId="6407C819" w14:textId="77777777" w:rsidR="00BD7A56" w:rsidRDefault="00BD7A56" w:rsidP="00D6673F">
            <w:r>
              <w:t>$80</w:t>
            </w:r>
          </w:p>
        </w:tc>
        <w:tc>
          <w:tcPr>
            <w:tcW w:w="2169" w:type="dxa"/>
          </w:tcPr>
          <w:p w14:paraId="19944F9C" w14:textId="77777777" w:rsidR="00BD7A56" w:rsidRDefault="00BD7A56" w:rsidP="00D6673F">
            <w:r>
              <w:t>$</w:t>
            </w:r>
            <w:r w:rsidR="003C2FFC">
              <w:t>129</w:t>
            </w:r>
          </w:p>
        </w:tc>
      </w:tr>
      <w:tr w:rsidR="00BD7A56" w14:paraId="268C3DB8" w14:textId="77777777" w:rsidTr="00D6673F">
        <w:tc>
          <w:tcPr>
            <w:tcW w:w="2812" w:type="dxa"/>
          </w:tcPr>
          <w:p w14:paraId="5926D4BD" w14:textId="77777777" w:rsidR="00BD7A56" w:rsidRDefault="00BD7A56" w:rsidP="00D6673F">
            <w:r>
              <w:t>Deployment Bag</w:t>
            </w:r>
          </w:p>
        </w:tc>
        <w:tc>
          <w:tcPr>
            <w:tcW w:w="2200" w:type="dxa"/>
          </w:tcPr>
          <w:p w14:paraId="41BC47F4" w14:textId="77777777" w:rsidR="00BD7A56" w:rsidRDefault="00BD7A56" w:rsidP="00D6673F">
            <w:r>
              <w:t>1</w:t>
            </w:r>
          </w:p>
        </w:tc>
        <w:tc>
          <w:tcPr>
            <w:tcW w:w="2169" w:type="dxa"/>
          </w:tcPr>
          <w:p w14:paraId="6F2127B1" w14:textId="77777777" w:rsidR="00BD7A56" w:rsidRDefault="00BD7A56" w:rsidP="00D6673F">
            <w:r>
              <w:t>$49.95</w:t>
            </w:r>
          </w:p>
        </w:tc>
        <w:tc>
          <w:tcPr>
            <w:tcW w:w="2169" w:type="dxa"/>
          </w:tcPr>
          <w:p w14:paraId="65FC9926" w14:textId="77777777" w:rsidR="00BD7A56" w:rsidRDefault="00BD7A56" w:rsidP="00D6673F">
            <w:r>
              <w:t>$49.95</w:t>
            </w:r>
          </w:p>
        </w:tc>
      </w:tr>
      <w:tr w:rsidR="00BD7A56" w14:paraId="33792B59" w14:textId="77777777" w:rsidTr="00D6673F">
        <w:tc>
          <w:tcPr>
            <w:tcW w:w="2812" w:type="dxa"/>
          </w:tcPr>
          <w:p w14:paraId="6D28796F" w14:textId="77777777" w:rsidR="00BD7A56" w:rsidRDefault="00BD7A56" w:rsidP="00D6673F">
            <w:r>
              <w:t xml:space="preserve">Total: </w:t>
            </w:r>
          </w:p>
        </w:tc>
        <w:tc>
          <w:tcPr>
            <w:tcW w:w="2200" w:type="dxa"/>
          </w:tcPr>
          <w:p w14:paraId="44C77D00" w14:textId="77777777" w:rsidR="00BD7A56" w:rsidRDefault="00BD7A56" w:rsidP="00D6673F"/>
        </w:tc>
        <w:tc>
          <w:tcPr>
            <w:tcW w:w="2169" w:type="dxa"/>
          </w:tcPr>
          <w:p w14:paraId="34135592" w14:textId="77777777" w:rsidR="00BD7A56" w:rsidRDefault="00BD7A56" w:rsidP="00D6673F"/>
        </w:tc>
        <w:tc>
          <w:tcPr>
            <w:tcW w:w="2169" w:type="dxa"/>
          </w:tcPr>
          <w:p w14:paraId="64C6A372" w14:textId="77777777" w:rsidR="00BD7A56" w:rsidRDefault="00BD7A56" w:rsidP="00D6673F">
            <w:r>
              <w:t>$</w:t>
            </w:r>
            <w:r>
              <w:t>1</w:t>
            </w:r>
            <w:r w:rsidR="003C2FFC">
              <w:t>704</w:t>
            </w:r>
            <w:r>
              <w:t>.36</w:t>
            </w:r>
          </w:p>
        </w:tc>
      </w:tr>
    </w:tbl>
    <w:p w14:paraId="4A80D47E" w14:textId="77777777" w:rsidR="007F1F28" w:rsidRDefault="007F1F28" w:rsidP="00E27044"/>
    <w:p w14:paraId="4B64B379" w14:textId="77777777" w:rsidR="007F1F28" w:rsidRDefault="007F1F28" w:rsidP="00E27044">
      <w:r>
        <w:t xml:space="preserve">Dual Deployment – Single Detachment </w:t>
      </w:r>
    </w:p>
    <w:p w14:paraId="714610A8" w14:textId="77777777" w:rsidR="007F1F28" w:rsidRDefault="007F1F28" w:rsidP="00E27044">
      <w:r w:rsidRPr="007F1F28">
        <w:drawing>
          <wp:inline distT="0" distB="0" distL="0" distR="0" wp14:anchorId="023BCAF7" wp14:editId="4AE6171C">
            <wp:extent cx="5943600" cy="2934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34970"/>
                    </a:xfrm>
                    <a:prstGeom prst="rect">
                      <a:avLst/>
                    </a:prstGeom>
                  </pic:spPr>
                </pic:pic>
              </a:graphicData>
            </a:graphic>
          </wp:inline>
        </w:drawing>
      </w:r>
    </w:p>
    <w:p w14:paraId="27F9E5DC" w14:textId="77777777" w:rsidR="007F1F28" w:rsidRDefault="007F1F28" w:rsidP="007F1F28">
      <w:r>
        <w:t xml:space="preserve">Components: </w:t>
      </w:r>
    </w:p>
    <w:p w14:paraId="38F3E0E5" w14:textId="77777777" w:rsidR="007F1F28" w:rsidRDefault="007F1F28" w:rsidP="007F1F28">
      <w:r>
        <w:t>CO</w:t>
      </w:r>
      <w:r>
        <w:rPr>
          <w:vertAlign w:val="subscript"/>
        </w:rPr>
        <w:t>2</w:t>
      </w:r>
      <w:r>
        <w:t xml:space="preserve"> Raptor – x</w:t>
      </w:r>
      <w:r>
        <w:t>2</w:t>
      </w:r>
      <w:r>
        <w:t xml:space="preserve"> ($158.00 [Total: $</w:t>
      </w:r>
      <w:r>
        <w:t>236</w:t>
      </w:r>
      <w:r>
        <w:t>.00])</w:t>
      </w:r>
    </w:p>
    <w:p w14:paraId="7F077EF7" w14:textId="77777777" w:rsidR="007F1F28" w:rsidRDefault="007F1F28" w:rsidP="007F1F28">
      <w:r>
        <w:t>30” Elliptical Parachute – x1 ($71.00)</w:t>
      </w:r>
    </w:p>
    <w:p w14:paraId="5D9EB866" w14:textId="77777777" w:rsidR="007F1F28" w:rsidRDefault="007F1F28" w:rsidP="007F1F28">
      <w:r>
        <w:t>120” Iris Ultra Standard Parachute – x1 ($432.46)</w:t>
      </w:r>
    </w:p>
    <w:p w14:paraId="2D1505D6" w14:textId="77777777" w:rsidR="007F1F28" w:rsidRDefault="007F1F28" w:rsidP="007F1F28">
      <w:r>
        <w:t>Bulkheads – x</w:t>
      </w:r>
      <w:r>
        <w:t>1</w:t>
      </w:r>
      <w:r>
        <w:t xml:space="preserve"> (Price Unknown)</w:t>
      </w:r>
    </w:p>
    <w:p w14:paraId="1A8DA1FC" w14:textId="77777777" w:rsidR="007F1F28" w:rsidRDefault="007F1F28" w:rsidP="007F1F28">
      <w:proofErr w:type="spellStart"/>
      <w:r>
        <w:t>TeleMega</w:t>
      </w:r>
      <w:proofErr w:type="spellEnd"/>
      <w:r>
        <w:t xml:space="preserve"> – x1 ($400) </w:t>
      </w:r>
    </w:p>
    <w:p w14:paraId="468BFFB6" w14:textId="77777777" w:rsidR="007F1F28" w:rsidRDefault="007F1F28" w:rsidP="007F1F28">
      <w:proofErr w:type="spellStart"/>
      <w:r>
        <w:t>StratoLogger</w:t>
      </w:r>
      <w:proofErr w:type="spellEnd"/>
      <w:r>
        <w:t xml:space="preserve"> – x1 ($69.95)</w:t>
      </w:r>
    </w:p>
    <w:p w14:paraId="03DDC7AE" w14:textId="77777777" w:rsidR="007F1F28" w:rsidRDefault="007F1F28" w:rsidP="007F1F28">
      <w:r>
        <w:t xml:space="preserve">Tender Descender – x1  </w:t>
      </w:r>
    </w:p>
    <w:tbl>
      <w:tblPr>
        <w:tblStyle w:val="TableGrid"/>
        <w:tblW w:w="0" w:type="auto"/>
        <w:tblLook w:val="04A0" w:firstRow="1" w:lastRow="0" w:firstColumn="1" w:lastColumn="0" w:noHBand="0" w:noVBand="1"/>
      </w:tblPr>
      <w:tblGrid>
        <w:gridCol w:w="2812"/>
        <w:gridCol w:w="2200"/>
        <w:gridCol w:w="2169"/>
        <w:gridCol w:w="2169"/>
      </w:tblGrid>
      <w:tr w:rsidR="00BD7A56" w14:paraId="5588B4CC" w14:textId="77777777" w:rsidTr="007F1F28">
        <w:tc>
          <w:tcPr>
            <w:tcW w:w="2812" w:type="dxa"/>
          </w:tcPr>
          <w:p w14:paraId="6E421A87" w14:textId="77777777" w:rsidR="00BD7A56" w:rsidRDefault="00BD7A56" w:rsidP="00BD7A56">
            <w:r>
              <w:t xml:space="preserve">Component </w:t>
            </w:r>
          </w:p>
        </w:tc>
        <w:tc>
          <w:tcPr>
            <w:tcW w:w="2200" w:type="dxa"/>
          </w:tcPr>
          <w:p w14:paraId="79008F59" w14:textId="77777777" w:rsidR="00BD7A56" w:rsidRDefault="00BD7A56" w:rsidP="00BD7A56">
            <w:r>
              <w:t>Quantity</w:t>
            </w:r>
          </w:p>
        </w:tc>
        <w:tc>
          <w:tcPr>
            <w:tcW w:w="2169" w:type="dxa"/>
          </w:tcPr>
          <w:p w14:paraId="25882F29" w14:textId="77777777" w:rsidR="00BD7A56" w:rsidRDefault="00BD7A56" w:rsidP="00BD7A56">
            <w:r>
              <w:t>Price per Component</w:t>
            </w:r>
          </w:p>
        </w:tc>
        <w:tc>
          <w:tcPr>
            <w:tcW w:w="2169" w:type="dxa"/>
          </w:tcPr>
          <w:p w14:paraId="74860C09" w14:textId="77777777" w:rsidR="00BD7A56" w:rsidRDefault="00BD7A56" w:rsidP="00BD7A56">
            <w:r>
              <w:t>Total Price</w:t>
            </w:r>
          </w:p>
        </w:tc>
      </w:tr>
      <w:tr w:rsidR="007F1F28" w14:paraId="61A4FA62" w14:textId="77777777" w:rsidTr="007F1F28">
        <w:tc>
          <w:tcPr>
            <w:tcW w:w="2812" w:type="dxa"/>
          </w:tcPr>
          <w:p w14:paraId="788CD5F1" w14:textId="77777777" w:rsidR="007F1F28" w:rsidRDefault="007F1F28" w:rsidP="00E27044">
            <w:r>
              <w:t>CO</w:t>
            </w:r>
            <w:r>
              <w:rPr>
                <w:vertAlign w:val="subscript"/>
              </w:rPr>
              <w:t>2</w:t>
            </w:r>
            <w:r>
              <w:t xml:space="preserve"> Raptor</w:t>
            </w:r>
          </w:p>
        </w:tc>
        <w:tc>
          <w:tcPr>
            <w:tcW w:w="2200" w:type="dxa"/>
          </w:tcPr>
          <w:p w14:paraId="4DF8649A" w14:textId="77777777" w:rsidR="007F1F28" w:rsidRDefault="007F1F28" w:rsidP="00E27044">
            <w:r>
              <w:t>2</w:t>
            </w:r>
          </w:p>
        </w:tc>
        <w:tc>
          <w:tcPr>
            <w:tcW w:w="2169" w:type="dxa"/>
          </w:tcPr>
          <w:p w14:paraId="4D385112" w14:textId="77777777" w:rsidR="007F1F28" w:rsidRDefault="007F1F28" w:rsidP="00E27044">
            <w:r>
              <w:t>$158.00</w:t>
            </w:r>
          </w:p>
        </w:tc>
        <w:tc>
          <w:tcPr>
            <w:tcW w:w="2169" w:type="dxa"/>
          </w:tcPr>
          <w:p w14:paraId="048AF350" w14:textId="77777777" w:rsidR="007F1F28" w:rsidRDefault="007F1F28" w:rsidP="00E27044">
            <w:r>
              <w:t>$236.00</w:t>
            </w:r>
          </w:p>
        </w:tc>
      </w:tr>
      <w:tr w:rsidR="007F1F28" w14:paraId="71D86634" w14:textId="77777777" w:rsidTr="007F1F28">
        <w:tc>
          <w:tcPr>
            <w:tcW w:w="2812" w:type="dxa"/>
          </w:tcPr>
          <w:p w14:paraId="112675E5" w14:textId="77777777" w:rsidR="007F1F28" w:rsidRDefault="007F1F28" w:rsidP="007F1F28">
            <w:r>
              <w:t>30” Elliptical Parachute</w:t>
            </w:r>
          </w:p>
        </w:tc>
        <w:tc>
          <w:tcPr>
            <w:tcW w:w="2200" w:type="dxa"/>
          </w:tcPr>
          <w:p w14:paraId="0B858213" w14:textId="77777777" w:rsidR="007F1F28" w:rsidRDefault="007F1F28" w:rsidP="007F1F28">
            <w:r>
              <w:t>1</w:t>
            </w:r>
          </w:p>
        </w:tc>
        <w:tc>
          <w:tcPr>
            <w:tcW w:w="2169" w:type="dxa"/>
          </w:tcPr>
          <w:p w14:paraId="1BDBC901" w14:textId="77777777" w:rsidR="007F1F28" w:rsidRDefault="007F1F28" w:rsidP="007F1F28">
            <w:r>
              <w:t>$71.00</w:t>
            </w:r>
          </w:p>
        </w:tc>
        <w:tc>
          <w:tcPr>
            <w:tcW w:w="2169" w:type="dxa"/>
          </w:tcPr>
          <w:p w14:paraId="59BAE462" w14:textId="77777777" w:rsidR="007F1F28" w:rsidRDefault="007F1F28" w:rsidP="007F1F28">
            <w:r>
              <w:t>$71.00</w:t>
            </w:r>
          </w:p>
        </w:tc>
      </w:tr>
      <w:tr w:rsidR="007F1F28" w14:paraId="752056DF" w14:textId="77777777" w:rsidTr="007F1F28">
        <w:tc>
          <w:tcPr>
            <w:tcW w:w="2812" w:type="dxa"/>
          </w:tcPr>
          <w:p w14:paraId="15D5DA98" w14:textId="77777777" w:rsidR="007F1F28" w:rsidRDefault="007F1F28" w:rsidP="007F1F28">
            <w:r>
              <w:t>120” Iris Ultra Standard Parachute</w:t>
            </w:r>
          </w:p>
        </w:tc>
        <w:tc>
          <w:tcPr>
            <w:tcW w:w="2200" w:type="dxa"/>
          </w:tcPr>
          <w:p w14:paraId="482FBCE1" w14:textId="77777777" w:rsidR="007F1F28" w:rsidRDefault="007F1F28" w:rsidP="007F1F28">
            <w:r>
              <w:t>1</w:t>
            </w:r>
          </w:p>
        </w:tc>
        <w:tc>
          <w:tcPr>
            <w:tcW w:w="2169" w:type="dxa"/>
          </w:tcPr>
          <w:p w14:paraId="6A6DDE66" w14:textId="77777777" w:rsidR="007F1F28" w:rsidRDefault="007F1F28" w:rsidP="007F1F28">
            <w:r>
              <w:t>$432.46</w:t>
            </w:r>
          </w:p>
        </w:tc>
        <w:tc>
          <w:tcPr>
            <w:tcW w:w="2169" w:type="dxa"/>
          </w:tcPr>
          <w:p w14:paraId="13F9E705" w14:textId="77777777" w:rsidR="007F1F28" w:rsidRDefault="007F1F28" w:rsidP="007F1F28">
            <w:r>
              <w:t>$432.46</w:t>
            </w:r>
          </w:p>
        </w:tc>
      </w:tr>
      <w:tr w:rsidR="007F1F28" w14:paraId="25932ECC" w14:textId="77777777" w:rsidTr="007F1F28">
        <w:tc>
          <w:tcPr>
            <w:tcW w:w="2812" w:type="dxa"/>
          </w:tcPr>
          <w:p w14:paraId="74B1A1B8" w14:textId="77777777" w:rsidR="007F1F28" w:rsidRDefault="007F1F28" w:rsidP="007F1F28">
            <w:r>
              <w:t>Bulkheads</w:t>
            </w:r>
          </w:p>
        </w:tc>
        <w:tc>
          <w:tcPr>
            <w:tcW w:w="2200" w:type="dxa"/>
          </w:tcPr>
          <w:p w14:paraId="5D9601A9" w14:textId="77777777" w:rsidR="007F1F28" w:rsidRDefault="007F1F28" w:rsidP="007F1F28">
            <w:r>
              <w:t>1</w:t>
            </w:r>
          </w:p>
        </w:tc>
        <w:tc>
          <w:tcPr>
            <w:tcW w:w="2169" w:type="dxa"/>
          </w:tcPr>
          <w:p w14:paraId="5ECA86EF" w14:textId="77777777" w:rsidR="007F1F28" w:rsidRDefault="007F1F28" w:rsidP="007F1F28"/>
        </w:tc>
        <w:tc>
          <w:tcPr>
            <w:tcW w:w="2169" w:type="dxa"/>
          </w:tcPr>
          <w:p w14:paraId="1AA77729" w14:textId="77777777" w:rsidR="007F1F28" w:rsidRDefault="007F1F28" w:rsidP="007F1F28"/>
        </w:tc>
      </w:tr>
      <w:tr w:rsidR="007F1F28" w14:paraId="74844FB5" w14:textId="77777777" w:rsidTr="007F1F28">
        <w:tc>
          <w:tcPr>
            <w:tcW w:w="2812" w:type="dxa"/>
          </w:tcPr>
          <w:p w14:paraId="1A7705DA" w14:textId="77777777" w:rsidR="007F1F28" w:rsidRDefault="007F1F28" w:rsidP="007F1F28">
            <w:proofErr w:type="spellStart"/>
            <w:r>
              <w:t>TeleMega</w:t>
            </w:r>
            <w:proofErr w:type="spellEnd"/>
          </w:p>
        </w:tc>
        <w:tc>
          <w:tcPr>
            <w:tcW w:w="2200" w:type="dxa"/>
          </w:tcPr>
          <w:p w14:paraId="63284972" w14:textId="77777777" w:rsidR="007F1F28" w:rsidRDefault="007F1F28" w:rsidP="007F1F28">
            <w:r>
              <w:t>1</w:t>
            </w:r>
          </w:p>
        </w:tc>
        <w:tc>
          <w:tcPr>
            <w:tcW w:w="2169" w:type="dxa"/>
          </w:tcPr>
          <w:p w14:paraId="1B967EAC" w14:textId="77777777" w:rsidR="007F1F28" w:rsidRDefault="007F1F28" w:rsidP="007F1F28">
            <w:r>
              <w:t>$400</w:t>
            </w:r>
          </w:p>
        </w:tc>
        <w:tc>
          <w:tcPr>
            <w:tcW w:w="2169" w:type="dxa"/>
          </w:tcPr>
          <w:p w14:paraId="7786414E" w14:textId="77777777" w:rsidR="007F1F28" w:rsidRDefault="007F1F28" w:rsidP="007F1F28">
            <w:r>
              <w:t>$400</w:t>
            </w:r>
          </w:p>
        </w:tc>
      </w:tr>
      <w:tr w:rsidR="007F1F28" w14:paraId="5976FA40" w14:textId="77777777" w:rsidTr="007F1F28">
        <w:tc>
          <w:tcPr>
            <w:tcW w:w="2812" w:type="dxa"/>
          </w:tcPr>
          <w:p w14:paraId="12F2D50F" w14:textId="77777777" w:rsidR="007F1F28" w:rsidRDefault="007F1F28" w:rsidP="007F1F28">
            <w:proofErr w:type="spellStart"/>
            <w:r>
              <w:t>StratoLogger</w:t>
            </w:r>
            <w:proofErr w:type="spellEnd"/>
          </w:p>
        </w:tc>
        <w:tc>
          <w:tcPr>
            <w:tcW w:w="2200" w:type="dxa"/>
          </w:tcPr>
          <w:p w14:paraId="08E44F22" w14:textId="77777777" w:rsidR="007F1F28" w:rsidRDefault="007F1F28" w:rsidP="007F1F28">
            <w:r>
              <w:t>1</w:t>
            </w:r>
          </w:p>
        </w:tc>
        <w:tc>
          <w:tcPr>
            <w:tcW w:w="2169" w:type="dxa"/>
          </w:tcPr>
          <w:p w14:paraId="39BC850C" w14:textId="77777777" w:rsidR="007F1F28" w:rsidRDefault="007F1F28" w:rsidP="007F1F28">
            <w:r>
              <w:t>$69.95</w:t>
            </w:r>
          </w:p>
        </w:tc>
        <w:tc>
          <w:tcPr>
            <w:tcW w:w="2169" w:type="dxa"/>
          </w:tcPr>
          <w:p w14:paraId="1048F1F5" w14:textId="77777777" w:rsidR="007F1F28" w:rsidRDefault="007F1F28" w:rsidP="007F1F28">
            <w:r>
              <w:t>$69.95</w:t>
            </w:r>
          </w:p>
        </w:tc>
      </w:tr>
      <w:tr w:rsidR="007F1F28" w14:paraId="759F1169" w14:textId="77777777" w:rsidTr="007F1F28">
        <w:tc>
          <w:tcPr>
            <w:tcW w:w="2812" w:type="dxa"/>
          </w:tcPr>
          <w:p w14:paraId="446B5692" w14:textId="77777777" w:rsidR="007F1F28" w:rsidRDefault="007F1F28" w:rsidP="007F1F28">
            <w:r>
              <w:t>Tender Descender</w:t>
            </w:r>
          </w:p>
        </w:tc>
        <w:tc>
          <w:tcPr>
            <w:tcW w:w="2200" w:type="dxa"/>
          </w:tcPr>
          <w:p w14:paraId="64E4F967" w14:textId="77777777" w:rsidR="007F1F28" w:rsidRDefault="007F1F28" w:rsidP="007F1F28">
            <w:r>
              <w:t>1</w:t>
            </w:r>
          </w:p>
        </w:tc>
        <w:tc>
          <w:tcPr>
            <w:tcW w:w="2169" w:type="dxa"/>
          </w:tcPr>
          <w:p w14:paraId="3F40C081" w14:textId="77777777" w:rsidR="007F1F28" w:rsidRDefault="007F1F28" w:rsidP="007F1F28">
            <w:r>
              <w:t>$80</w:t>
            </w:r>
          </w:p>
        </w:tc>
        <w:tc>
          <w:tcPr>
            <w:tcW w:w="2169" w:type="dxa"/>
          </w:tcPr>
          <w:p w14:paraId="3225F7C5" w14:textId="77777777" w:rsidR="007F1F28" w:rsidRDefault="007F1F28" w:rsidP="007F1F28">
            <w:r>
              <w:t>$</w:t>
            </w:r>
            <w:r w:rsidR="003C2FFC">
              <w:t>129</w:t>
            </w:r>
          </w:p>
        </w:tc>
      </w:tr>
      <w:tr w:rsidR="007F1F28" w14:paraId="78AB74CE" w14:textId="77777777" w:rsidTr="007F1F28">
        <w:tc>
          <w:tcPr>
            <w:tcW w:w="2812" w:type="dxa"/>
          </w:tcPr>
          <w:p w14:paraId="726BE8F8" w14:textId="77777777" w:rsidR="007F1F28" w:rsidRDefault="007F1F28" w:rsidP="007F1F28">
            <w:r>
              <w:lastRenderedPageBreak/>
              <w:t>Deployment Bag</w:t>
            </w:r>
          </w:p>
        </w:tc>
        <w:tc>
          <w:tcPr>
            <w:tcW w:w="2200" w:type="dxa"/>
          </w:tcPr>
          <w:p w14:paraId="30D56DCD" w14:textId="77777777" w:rsidR="007F1F28" w:rsidRDefault="007F1F28" w:rsidP="007F1F28">
            <w:r>
              <w:t>1</w:t>
            </w:r>
          </w:p>
        </w:tc>
        <w:tc>
          <w:tcPr>
            <w:tcW w:w="2169" w:type="dxa"/>
          </w:tcPr>
          <w:p w14:paraId="06E2271F" w14:textId="77777777" w:rsidR="007F1F28" w:rsidRDefault="007F1F28" w:rsidP="007F1F28">
            <w:r>
              <w:t>$49.95</w:t>
            </w:r>
          </w:p>
        </w:tc>
        <w:tc>
          <w:tcPr>
            <w:tcW w:w="2169" w:type="dxa"/>
          </w:tcPr>
          <w:p w14:paraId="2D0374FA" w14:textId="77777777" w:rsidR="007F1F28" w:rsidRDefault="007F1F28" w:rsidP="007F1F28">
            <w:r>
              <w:t>$49.95</w:t>
            </w:r>
          </w:p>
        </w:tc>
      </w:tr>
      <w:tr w:rsidR="007F1F28" w14:paraId="426D9746" w14:textId="77777777" w:rsidTr="007F1F28">
        <w:tc>
          <w:tcPr>
            <w:tcW w:w="2812" w:type="dxa"/>
          </w:tcPr>
          <w:p w14:paraId="64AD08CE" w14:textId="77777777" w:rsidR="007F1F28" w:rsidRDefault="007F1F28" w:rsidP="007F1F28">
            <w:r>
              <w:t xml:space="preserve">Total: </w:t>
            </w:r>
          </w:p>
        </w:tc>
        <w:tc>
          <w:tcPr>
            <w:tcW w:w="2200" w:type="dxa"/>
          </w:tcPr>
          <w:p w14:paraId="5D37BE58" w14:textId="77777777" w:rsidR="007F1F28" w:rsidRDefault="007F1F28" w:rsidP="007F1F28"/>
        </w:tc>
        <w:tc>
          <w:tcPr>
            <w:tcW w:w="2169" w:type="dxa"/>
          </w:tcPr>
          <w:p w14:paraId="3E8E2B4F" w14:textId="77777777" w:rsidR="007F1F28" w:rsidRDefault="007F1F28" w:rsidP="007F1F28"/>
        </w:tc>
        <w:tc>
          <w:tcPr>
            <w:tcW w:w="2169" w:type="dxa"/>
          </w:tcPr>
          <w:p w14:paraId="6F203A68" w14:textId="77777777" w:rsidR="007F1F28" w:rsidRDefault="007F1F28" w:rsidP="007F1F28">
            <w:r>
              <w:t>$</w:t>
            </w:r>
            <w:r w:rsidR="00BD7A56">
              <w:t>13</w:t>
            </w:r>
            <w:r w:rsidR="003C2FFC">
              <w:t>88</w:t>
            </w:r>
            <w:r>
              <w:t>.36</w:t>
            </w:r>
          </w:p>
        </w:tc>
      </w:tr>
    </w:tbl>
    <w:p w14:paraId="01513D10" w14:textId="77777777" w:rsidR="007F1F28" w:rsidRDefault="007F1F28" w:rsidP="00E27044"/>
    <w:p w14:paraId="24A0401E" w14:textId="77777777" w:rsidR="00BD7A56" w:rsidRDefault="00BD7A56" w:rsidP="00E27044"/>
    <w:p w14:paraId="32C8864F" w14:textId="77777777" w:rsidR="00BD7A56" w:rsidRDefault="00BD7A56" w:rsidP="00E27044">
      <w:r>
        <w:t xml:space="preserve">Analyses </w:t>
      </w:r>
    </w:p>
    <w:p w14:paraId="51D547A6" w14:textId="77777777" w:rsidR="00BD7A56" w:rsidRDefault="00BD7A56" w:rsidP="00E27044">
      <w:r>
        <w:tab/>
        <w:t>The recovery system in the rocket is one of the most important systems in the rocket, it is what sets our designed rocket apart from a ballistic missile. Due to this</w:t>
      </w:r>
      <w:r w:rsidR="003C2FFC">
        <w:t>, we have decided to integrate various</w:t>
      </w:r>
      <w:r>
        <w:t xml:space="preserve"> commercial off the self (COTS) components </w:t>
      </w:r>
      <w:r w:rsidR="003C2FFC">
        <w:t xml:space="preserve">into our design for robustness. A worst-case scenario total weight of 75 pounds was obtained from the Frame team. This parameter and engineering support from Fruity Chutes </w:t>
      </w:r>
      <w:r w:rsidR="005C0BC4">
        <w:t>are</w:t>
      </w:r>
      <w:r w:rsidR="003C2FFC">
        <w:t xml:space="preserve"> what guided the design of the recovery subsection.</w:t>
      </w:r>
      <w:r w:rsidR="005C0BC4">
        <w:t xml:space="preserve"> Fruity Chutes is a company that specializes in aerospace recovery solutions and has been referenced in many engineering design reports from other teams at the IREC competition.</w:t>
      </w:r>
      <w:r w:rsidR="003C2FFC">
        <w:t xml:space="preserve"> After speaking with a representative [Are you </w:t>
      </w:r>
      <w:proofErr w:type="gramStart"/>
      <w:r w:rsidR="003C2FFC">
        <w:t>actually reading</w:t>
      </w:r>
      <w:proofErr w:type="gramEnd"/>
      <w:r w:rsidR="003C2FFC">
        <w:t xml:space="preserve"> this?] from Fruity Chutes and using their descent rate calculator, a 30” Elliptical Parachute and Iris Ultra 120” Standard Parachute were chosen to be the parachutes used. The 30” Elliptical Parachute comes standard with 220 lb. nylon shroud lines and a 1000 lb. swivel to connect to the frame of the rocket. A drogue of this shape and diameter provides a descent rate of around 94 fps</w:t>
      </w:r>
      <w:r w:rsidR="005C0BC4">
        <w:t xml:space="preserve"> which abides by the competition standards. This was verified using the descent rate calculator on the Fruity Chutes website and can be seen in the figure below.</w:t>
      </w:r>
    </w:p>
    <w:p w14:paraId="7E2A7D4F" w14:textId="77777777" w:rsidR="005C0BC4" w:rsidRDefault="005C0BC4" w:rsidP="00E27044">
      <w:r w:rsidRPr="004D012C">
        <w:rPr>
          <w:noProof/>
        </w:rPr>
        <w:drawing>
          <wp:inline distT="0" distB="0" distL="0" distR="0" wp14:anchorId="78115B8C" wp14:editId="4CF1FA8D">
            <wp:extent cx="5943600" cy="3266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66440"/>
                    </a:xfrm>
                    <a:prstGeom prst="rect">
                      <a:avLst/>
                    </a:prstGeom>
                  </pic:spPr>
                </pic:pic>
              </a:graphicData>
            </a:graphic>
          </wp:inline>
        </w:drawing>
      </w:r>
    </w:p>
    <w:p w14:paraId="3F164BAA" w14:textId="77777777" w:rsidR="005C0BC4" w:rsidRDefault="005C0BC4" w:rsidP="00E27044">
      <w:r>
        <w:tab/>
        <w:t xml:space="preserve">The Iris Ultra parachute comes standard with a 3000 lb. rated swivel and 400 lb. rated </w:t>
      </w:r>
      <w:proofErr w:type="spellStart"/>
      <w:r>
        <w:t>Paraline</w:t>
      </w:r>
      <w:proofErr w:type="spellEnd"/>
      <w:r>
        <w:t xml:space="preserve"> shroud lines. This parachute was chosen over different Iris Ultra parachutes on the website due its efficiency in price, space and strength. Other Iris Ultra parachutes that specialized in volume preservation or strength were not strong enoug</w:t>
      </w:r>
      <w:r w:rsidR="006660CD">
        <w:t xml:space="preserve">h to withstand opening forces or over $200 more expensive. The Iris Ultra Standard parachute chosen for the main parachute provides a descent rate of 19.4 fps. This can be seen from the descent rate calculator from the Fruity Chutes website below. </w:t>
      </w:r>
    </w:p>
    <w:p w14:paraId="55619E49" w14:textId="77777777" w:rsidR="007C5630" w:rsidRDefault="006660CD" w:rsidP="00E27044">
      <w:r w:rsidRPr="00B74AFA">
        <w:rPr>
          <w:noProof/>
        </w:rPr>
        <w:lastRenderedPageBreak/>
        <w:drawing>
          <wp:inline distT="0" distB="0" distL="0" distR="0" wp14:anchorId="7A25D440" wp14:editId="184CA412">
            <wp:extent cx="5943600" cy="3286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6760"/>
                    </a:xfrm>
                    <a:prstGeom prst="rect">
                      <a:avLst/>
                    </a:prstGeom>
                  </pic:spPr>
                </pic:pic>
              </a:graphicData>
            </a:graphic>
          </wp:inline>
        </w:drawing>
      </w:r>
    </w:p>
    <w:p w14:paraId="1D023515" w14:textId="77777777" w:rsidR="007C5630" w:rsidRPr="007C5630" w:rsidRDefault="007C5630" w:rsidP="007C5630">
      <w:pPr>
        <w:ind w:firstLine="720"/>
      </w:pPr>
      <w:r>
        <w:t>The CO</w:t>
      </w:r>
      <w:r>
        <w:rPr>
          <w:vertAlign w:val="subscript"/>
        </w:rPr>
        <w:t xml:space="preserve">2 </w:t>
      </w:r>
      <w:r>
        <w:t>Raptor ejectors were chosen as the method of detachment during flight over the traditional black powder method. Black powder has been reported as unreliable if the chambers are not properly sealed during flight. Some of the risks included in using black powder include, burnt parachutes, burnt shock chords/shroud lines and combustibility issues at high altitudes. The CO</w:t>
      </w:r>
      <w:r>
        <w:rPr>
          <w:vertAlign w:val="subscript"/>
        </w:rPr>
        <w:t xml:space="preserve">2 </w:t>
      </w:r>
      <w:r>
        <w:t xml:space="preserve">Raptor ejectors use a </w:t>
      </w:r>
      <w:proofErr w:type="spellStart"/>
      <w:r w:rsidR="002B6D8D">
        <w:t>o-ring</w:t>
      </w:r>
      <w:proofErr w:type="spellEnd"/>
      <w:r w:rsidR="002B6D8D">
        <w:t xml:space="preserve"> sealed compartment of black powder that is ignited via an electric spark to </w:t>
      </w:r>
      <w:r>
        <w:t xml:space="preserve">puncture a diaphragm </w:t>
      </w:r>
      <w:r w:rsidR="002B6D8D">
        <w:t>and</w:t>
      </w:r>
      <w:r>
        <w:t xml:space="preserve"> release liquid </w:t>
      </w:r>
      <w:r>
        <w:t>CO</w:t>
      </w:r>
      <w:r>
        <w:rPr>
          <w:vertAlign w:val="subscript"/>
        </w:rPr>
        <w:t>2</w:t>
      </w:r>
      <w:r>
        <w:rPr>
          <w:vertAlign w:val="subscript"/>
        </w:rPr>
        <w:t xml:space="preserve"> </w:t>
      </w:r>
      <w:r>
        <w:t>pressurized to 900 psi</w:t>
      </w:r>
      <w:r w:rsidR="002B6D8D">
        <w:t xml:space="preserve"> into the recovery section. The fumes from the black powder are exhaled through the same ports that the liquid </w:t>
      </w:r>
      <w:r w:rsidR="002B6D8D">
        <w:t>CO</w:t>
      </w:r>
      <w:r w:rsidR="002B6D8D">
        <w:rPr>
          <w:vertAlign w:val="subscript"/>
        </w:rPr>
        <w:t>2</w:t>
      </w:r>
      <w:r w:rsidR="002B6D8D">
        <w:t xml:space="preserve"> is, this cools the fumes from the black powder eliminating the risk of burning holes in the necessary equipment for a successful recovery. </w:t>
      </w:r>
    </w:p>
    <w:p w14:paraId="78BB22F1" w14:textId="77777777" w:rsidR="006660CD" w:rsidRDefault="006660CD" w:rsidP="007C5630">
      <w:pPr>
        <w:ind w:firstLine="720"/>
      </w:pPr>
      <w:r>
        <w:t xml:space="preserve">Two methods of parachute deployment were shown in the Design Requirement section of this report. The Recovery team has chosen to move forward with the Dual Deployment – Single Detachment high level design. This design was chosen because it is mechanically simpler than the Dual Deployment – Double Detachment method. </w:t>
      </w:r>
      <w:r w:rsidR="002B6D8D">
        <w:t>This design is made possible by the purchase of the Tender Descender which holds the main parachute in its bay while the drogue is deployed and then releases the drogue parachute during the main parachute deployment</w:t>
      </w:r>
      <w:r w:rsidR="00534DE1">
        <w:t>.</w:t>
      </w:r>
      <w:r w:rsidR="002B6D8D">
        <w:t xml:space="preserve"> </w:t>
      </w:r>
      <w:r>
        <w:t>By eliminating the second detachment</w:t>
      </w:r>
      <w:r w:rsidR="00534DE1">
        <w:t>,</w:t>
      </w:r>
      <w:r>
        <w:t xml:space="preserve"> less design needs to be done for the frame and recovery teams to ensure the detachment will work during flight. The single detachment method is also significantly cheaper than the dual detachment, costing $316 less without considering the additional cost of machining and mating components required for another section that can be detached. </w:t>
      </w:r>
    </w:p>
    <w:p w14:paraId="3E388038" w14:textId="77777777" w:rsidR="007C5630" w:rsidRDefault="007C5630" w:rsidP="00E27044">
      <w:r>
        <w:t xml:space="preserve">Summary </w:t>
      </w:r>
    </w:p>
    <w:p w14:paraId="189BCA2D" w14:textId="77777777" w:rsidR="007C5630" w:rsidRPr="007C5630" w:rsidRDefault="007C5630" w:rsidP="00E27044">
      <w:r>
        <w:tab/>
        <w:t xml:space="preserve">Many components built into the Recovery system are contingent upon the final weight of the rocket. If the rocket weighs more or less than the diameter of the parachute can be decreased and the recovery section of the rocket can be shortened to preserve space. The major components required to build the recovery system have been chosen. </w:t>
      </w:r>
      <w:r w:rsidR="002B6D8D">
        <w:t xml:space="preserve">While engineering support from Fruity Chutes has been </w:t>
      </w:r>
      <w:r w:rsidR="002B6D8D">
        <w:lastRenderedPageBreak/>
        <w:t xml:space="preserve">used to pick out these components and assure that they will work as expected, </w:t>
      </w:r>
      <w:r w:rsidR="002B6D8D">
        <w:t xml:space="preserve">more research into the governing laws is underway to provide more confidence in our design. </w:t>
      </w:r>
      <w:bookmarkEnd w:id="0"/>
    </w:p>
    <w:sectPr w:rsidR="007C5630" w:rsidRPr="007C5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9538F"/>
    <w:multiLevelType w:val="hybridMultilevel"/>
    <w:tmpl w:val="135E6992"/>
    <w:lvl w:ilvl="0" w:tplc="AD425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44"/>
    <w:rsid w:val="00045574"/>
    <w:rsid w:val="002B6D8D"/>
    <w:rsid w:val="003C2FFC"/>
    <w:rsid w:val="004460A1"/>
    <w:rsid w:val="00534DE1"/>
    <w:rsid w:val="005C0BC4"/>
    <w:rsid w:val="006660CD"/>
    <w:rsid w:val="007C5630"/>
    <w:rsid w:val="007F1F28"/>
    <w:rsid w:val="00925485"/>
    <w:rsid w:val="00BD7A56"/>
    <w:rsid w:val="00E2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0DFC"/>
  <w15:chartTrackingRefBased/>
  <w15:docId w15:val="{5B2E82B2-0892-486E-9859-AB6A7D7E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044"/>
    <w:pPr>
      <w:ind w:left="720"/>
      <w:contextualSpacing/>
    </w:pPr>
  </w:style>
  <w:style w:type="character" w:customStyle="1" w:styleId="normaltextrun">
    <w:name w:val="normaltextrun"/>
    <w:basedOn w:val="DefaultParagraphFont"/>
    <w:rsid w:val="00E27044"/>
  </w:style>
  <w:style w:type="character" w:customStyle="1" w:styleId="spellingerror">
    <w:name w:val="spellingerror"/>
    <w:basedOn w:val="DefaultParagraphFont"/>
    <w:rsid w:val="00E27044"/>
  </w:style>
  <w:style w:type="character" w:customStyle="1" w:styleId="eop">
    <w:name w:val="eop"/>
    <w:basedOn w:val="DefaultParagraphFont"/>
    <w:rsid w:val="00E27044"/>
  </w:style>
  <w:style w:type="paragraph" w:styleId="BalloonText">
    <w:name w:val="Balloon Text"/>
    <w:basedOn w:val="Normal"/>
    <w:link w:val="BalloonTextChar"/>
    <w:uiPriority w:val="99"/>
    <w:semiHidden/>
    <w:unhideWhenUsed/>
    <w:rsid w:val="00E27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044"/>
    <w:rPr>
      <w:rFonts w:ascii="Segoe UI" w:hAnsi="Segoe UI" w:cs="Segoe UI"/>
      <w:sz w:val="18"/>
      <w:szCs w:val="18"/>
    </w:rPr>
  </w:style>
  <w:style w:type="table" w:styleId="TableGrid">
    <w:name w:val="Table Grid"/>
    <w:basedOn w:val="TableNormal"/>
    <w:uiPriority w:val="39"/>
    <w:rsid w:val="007F1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Simmonds, Lucas P</dc:creator>
  <cp:keywords/>
  <dc:description/>
  <cp:lastModifiedBy>Simmonds, Lucas P</cp:lastModifiedBy>
  <cp:revision>1</cp:revision>
  <dcterms:created xsi:type="dcterms:W3CDTF">2019-12-13T18:43:00Z</dcterms:created>
  <dcterms:modified xsi:type="dcterms:W3CDTF">2019-12-13T20:15:00Z</dcterms:modified>
</cp:coreProperties>
</file>