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191A86B7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r w:rsidR="00475855" w:rsidRPr="00475855">
        <w:rPr>
          <w:rFonts w:ascii="Arial" w:eastAsia="Arial" w:hAnsi="Arial" w:cs="Arial"/>
          <w:sz w:val="20"/>
          <w:szCs w:val="20"/>
        </w:rPr>
        <w:t>Javier López Pérez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475855">
        <w:rPr>
          <w:rFonts w:ascii="Arial" w:eastAsia="Arial" w:hAnsi="Arial" w:cs="Arial"/>
          <w:sz w:val="20"/>
          <w:szCs w:val="20"/>
        </w:rPr>
        <w:t>Auditor Especial de Desempeño y Legalidad</w:t>
      </w:r>
      <w:r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475855">
        <w:rPr>
          <w:rFonts w:ascii="Arial" w:eastAsia="Arial" w:hAnsi="Arial" w:cs="Arial"/>
          <w:sz w:val="20"/>
          <w:szCs w:val="20"/>
        </w:rPr>
        <w:t>de Desempeño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commentRangeStart w:id="3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3"/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Pr="00544572">
        <w:rPr>
          <w:rFonts w:ascii="Arial" w:eastAsia="Arial" w:hAnsi="Arial" w:cs="Arial"/>
          <w:sz w:val="20"/>
          <w:szCs w:val="20"/>
        </w:rPr>
        <w:t>XXXXXX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>fracción</w:t>
      </w:r>
      <w:r w:rsidR="00803B46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fracción </w:t>
      </w:r>
      <w:r w:rsidR="00475855">
        <w:rPr>
          <w:rFonts w:ascii="Arial" w:eastAsia="Arial" w:hAnsi="Arial" w:cs="Arial"/>
          <w:sz w:val="20"/>
          <w:szCs w:val="20"/>
        </w:rPr>
        <w:t>II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>54 Bis</w:t>
      </w:r>
      <w:r w:rsidR="00475855">
        <w:rPr>
          <w:rFonts w:ascii="Arial" w:eastAsia="Arial" w:hAnsi="Arial" w:cs="Arial"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>59 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>3 fracci</w:t>
      </w:r>
      <w:r w:rsidR="00475855">
        <w:rPr>
          <w:rFonts w:ascii="Arial" w:eastAsia="Arial" w:hAnsi="Arial" w:cs="Arial"/>
          <w:sz w:val="20"/>
          <w:szCs w:val="20"/>
        </w:rPr>
        <w:t>ón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 XXIII Bis, 4, 6 fracciones III, XVIII</w:t>
      </w:r>
      <w:r w:rsidR="00475855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57573F45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6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7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475855">
        <w:rPr>
          <w:rFonts w:ascii="Arial" w:eastAsia="Arial" w:hAnsi="Arial" w:cs="Arial"/>
          <w:sz w:val="20"/>
          <w:szCs w:val="20"/>
        </w:rPr>
        <w:t>Desempeño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8"/>
      <w:r w:rsidR="00803B46" w:rsidRPr="00C7348B">
        <w:rPr>
          <w:rFonts w:ascii="Arial" w:hAnsi="Arial" w:cs="Arial"/>
          <w:bCs/>
          <w:sz w:val="20"/>
          <w:szCs w:val="20"/>
        </w:rPr>
        <w:t>XXX</w:t>
      </w:r>
      <w:commentRangeEnd w:id="8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9"/>
      <w:r w:rsidR="00803B46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9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bookmarkEnd w:id="7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0"/>
      <w:r w:rsidR="00803B46" w:rsidRPr="00C7348B">
        <w:rPr>
          <w:rFonts w:ascii="Arial" w:hAnsi="Arial" w:cs="Arial"/>
          <w:bCs/>
          <w:sz w:val="20"/>
          <w:szCs w:val="20"/>
        </w:rPr>
        <w:t>XXX</w:t>
      </w:r>
      <w:commentRangeEnd w:id="10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6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1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1"/>
      <w:r w:rsidR="008B7CEC" w:rsidRPr="00544572">
        <w:rPr>
          <w:rFonts w:ascii="Arial" w:hAnsi="Arial" w:cs="Arial"/>
          <w:sz w:val="20"/>
          <w:szCs w:val="20"/>
        </w:rPr>
        <w:commentReference w:id="11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6BA7EE6B" w14:textId="39B6FB77" w:rsidR="00F21403" w:rsidRPr="00544572" w:rsidRDefault="00475855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>53,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54 Bis de la Ley de Fiscalización Superior del Estado de México y; 6 fracciones XXV y XXXVII y 47 fracciones III, IV, XII y XIX del Reglamento Interior del Órgano Superior de Fiscalización del Estado de México, </w:t>
      </w:r>
      <w:bookmarkStart w:id="12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3"/>
        </w:sdtContent>
      </w:sdt>
      <w:r w:rsidR="00803B46"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13"/>
      <w:r w:rsidR="00803B46" w:rsidRPr="00544572">
        <w:rPr>
          <w:rFonts w:ascii="Arial" w:hAnsi="Arial" w:cs="Arial"/>
          <w:b/>
          <w:sz w:val="20"/>
          <w:szCs w:val="20"/>
        </w:rPr>
        <w:commentReference w:id="13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4"/>
        </w:sdtContent>
      </w:sdt>
      <w:r w:rsidR="00803B46" w:rsidRPr="00544572">
        <w:rPr>
          <w:rFonts w:ascii="Arial" w:eastAsia="Arial" w:hAnsi="Arial" w:cs="Arial"/>
          <w:b/>
          <w:sz w:val="20"/>
          <w:szCs w:val="20"/>
        </w:rPr>
        <w:t>XXX,</w:t>
      </w:r>
      <w:commentRangeEnd w:id="14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14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15"/>
      <w:r w:rsidR="00803B46">
        <w:rPr>
          <w:rFonts w:ascii="Arial" w:eastAsia="Arial" w:hAnsi="Arial" w:cs="Arial"/>
          <w:b/>
          <w:sz w:val="20"/>
          <w:szCs w:val="20"/>
        </w:rPr>
        <w:t xml:space="preserve">XXXX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15"/>
      <w:r w:rsidR="00803B46">
        <w:rPr>
          <w:rStyle w:val="Refdecomentario"/>
        </w:rPr>
        <w:commentReference w:id="15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2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01B3D8D4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17"/>
        </w:sdtContent>
      </w:sdt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XXXX</w:t>
      </w:r>
      <w:commentRangeEnd w:id="17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17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18"/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</w:t>
      </w:r>
      <w:commentRangeEnd w:id="18"/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19"/>
      <w:r w:rsidR="008B744D"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19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</w:t>
      </w:r>
      <w:bookmarkStart w:id="20" w:name="_GoBack"/>
      <w:bookmarkEnd w:id="20"/>
      <w:r w:rsidR="000C1A16" w:rsidRPr="00544572">
        <w:rPr>
          <w:rFonts w:ascii="Arial" w:hAnsi="Arial" w:cs="Arial"/>
          <w:sz w:val="20"/>
          <w:szCs w:val="20"/>
        </w:rPr>
        <w:t>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2BAFC893" w14:textId="099E119E" w:rsidR="00803B46" w:rsidRPr="00544572" w:rsidRDefault="000A0A9E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1" w:name="_heading=h.30j0zll" w:colFirst="0" w:colLast="0"/>
      <w:bookmarkStart w:id="22" w:name="_Hlk89870601"/>
      <w:bookmarkEnd w:id="21"/>
      <w:r w:rsidRPr="00544572">
        <w:rPr>
          <w:rFonts w:ascii="Arial" w:eastAsia="Arial" w:hAnsi="Arial" w:cs="Arial"/>
          <w:b/>
          <w:sz w:val="20"/>
          <w:szCs w:val="20"/>
        </w:rPr>
        <w:lastRenderedPageBreak/>
        <w:t>OCTAVO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Para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Proceso de Atención a </w:t>
      </w:r>
      <w:commentRangeStart w:id="23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las Recomendaciones en materia de </w:t>
      </w:r>
      <w:r w:rsidR="00475855">
        <w:rPr>
          <w:rFonts w:ascii="Arial" w:eastAsia="Arial" w:hAnsi="Arial" w:cs="Arial"/>
          <w:b/>
          <w:sz w:val="20"/>
          <w:szCs w:val="20"/>
        </w:rPr>
        <w:t>Desempeño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23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24"/>
      <w:r w:rsidR="00803B46" w:rsidRPr="00544572">
        <w:rPr>
          <w:rFonts w:ascii="Arial" w:eastAsia="Arial" w:hAnsi="Arial" w:cs="Arial"/>
          <w:sz w:val="20"/>
          <w:szCs w:val="20"/>
        </w:rPr>
        <w:t>las mismas</w:t>
      </w:r>
      <w:commentRangeEnd w:id="24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03B46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25"/>
      <w:r w:rsidR="00803B46">
        <w:rPr>
          <w:rFonts w:ascii="Arial" w:eastAsia="Arial" w:hAnsi="Arial" w:cs="Arial"/>
          <w:sz w:val="20"/>
          <w:szCs w:val="20"/>
        </w:rPr>
        <w:t>XXX</w:t>
      </w:r>
      <w:commentRangeEnd w:id="25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A0404E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6"/>
      <w:r w:rsidR="00803B46">
        <w:rPr>
          <w:rFonts w:ascii="Arial" w:eastAsia="Arial" w:hAnsi="Arial" w:cs="Arial"/>
          <w:sz w:val="20"/>
          <w:szCs w:val="20"/>
        </w:rPr>
        <w:t>XXX</w:t>
      </w:r>
      <w:commentRangeEnd w:id="26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803B46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 w:rsidR="00803B46">
        <w:rPr>
          <w:rFonts w:ascii="Arial" w:eastAsia="Arial" w:hAnsi="Arial" w:cs="Arial"/>
          <w:sz w:val="20"/>
          <w:szCs w:val="20"/>
        </w:rPr>
        <w:t xml:space="preserve">, a efecto de </w:t>
      </w:r>
      <w:r w:rsidR="00803B46" w:rsidRPr="00D41013">
        <w:rPr>
          <w:rFonts w:ascii="Arial" w:hAnsi="Arial" w:cs="Arial"/>
          <w:sz w:val="20"/>
          <w:szCs w:val="20"/>
        </w:rPr>
        <w:t>precis</w:t>
      </w:r>
      <w:r w:rsidR="00803B46">
        <w:rPr>
          <w:rFonts w:ascii="Arial" w:hAnsi="Arial" w:cs="Arial"/>
          <w:sz w:val="20"/>
          <w:szCs w:val="20"/>
        </w:rPr>
        <w:t>en</w:t>
      </w:r>
      <w:r w:rsidR="00803B46"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27"/>
      <w:r w:rsidR="00803B46" w:rsidRPr="00D41013">
        <w:rPr>
          <w:rFonts w:ascii="Arial" w:hAnsi="Arial" w:cs="Arial"/>
          <w:sz w:val="20"/>
          <w:szCs w:val="20"/>
        </w:rPr>
        <w:t xml:space="preserve">las recomendaciones </w:t>
      </w:r>
      <w:r w:rsidR="00803B46">
        <w:rPr>
          <w:rFonts w:ascii="Arial" w:hAnsi="Arial" w:cs="Arial"/>
          <w:sz w:val="20"/>
          <w:szCs w:val="20"/>
        </w:rPr>
        <w:t>determinadas</w:t>
      </w:r>
      <w:commentRangeEnd w:id="27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803B46" w:rsidRPr="00D41013">
        <w:rPr>
          <w:rFonts w:ascii="Arial" w:hAnsi="Arial" w:cs="Arial"/>
          <w:sz w:val="20"/>
          <w:szCs w:val="20"/>
        </w:rPr>
        <w:t>, o en su caso, justifi</w:t>
      </w:r>
      <w:r w:rsidR="00803B46">
        <w:rPr>
          <w:rFonts w:ascii="Arial" w:hAnsi="Arial" w:cs="Arial"/>
          <w:sz w:val="20"/>
          <w:szCs w:val="20"/>
        </w:rPr>
        <w:t>que</w:t>
      </w:r>
      <w:r w:rsidR="00803B46" w:rsidRPr="00D41013">
        <w:rPr>
          <w:rFonts w:ascii="Arial" w:hAnsi="Arial" w:cs="Arial"/>
          <w:sz w:val="20"/>
          <w:szCs w:val="20"/>
        </w:rPr>
        <w:t xml:space="preserve"> su improcedenci</w:t>
      </w:r>
      <w:r w:rsidR="00803B46">
        <w:rPr>
          <w:rFonts w:ascii="Arial" w:hAnsi="Arial" w:cs="Arial"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sz w:val="20"/>
          <w:szCs w:val="20"/>
        </w:rPr>
        <w:t>.</w:t>
      </w:r>
    </w:p>
    <w:p w14:paraId="11AE77C9" w14:textId="3D6908DB" w:rsidR="00803B46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 xml:space="preserve">en términos del artículo 42 Bis de la Ley de Fiscalización Superior del Estado de México, </w:t>
      </w:r>
      <w:r w:rsidR="00A0404E">
        <w:rPr>
          <w:rFonts w:ascii="Arial" w:hAnsi="Arial" w:cs="Arial"/>
          <w:b/>
          <w:sz w:val="20"/>
          <w:szCs w:val="20"/>
        </w:rPr>
        <w:t xml:space="preserve">apercíbasele </w:t>
      </w:r>
      <w:r w:rsidR="00A0404E" w:rsidRPr="00A0404E">
        <w:rPr>
          <w:rFonts w:ascii="Arial" w:hAnsi="Arial" w:cs="Arial"/>
          <w:sz w:val="20"/>
          <w:szCs w:val="20"/>
        </w:rPr>
        <w:t>a la entidad fiscalizada</w:t>
      </w:r>
      <w:r w:rsidRPr="00544572">
        <w:rPr>
          <w:rFonts w:ascii="Arial" w:hAnsi="Arial" w:cs="Arial"/>
          <w:sz w:val="20"/>
          <w:szCs w:val="20"/>
        </w:rPr>
        <w:t xml:space="preserve">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</w:t>
      </w:r>
      <w:r w:rsidR="00FF5EB1">
        <w:rPr>
          <w:rFonts w:ascii="Arial" w:hAnsi="Arial" w:cs="Arial"/>
          <w:sz w:val="20"/>
          <w:szCs w:val="20"/>
        </w:rPr>
        <w:t>inco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28"/>
      <w:r w:rsidRPr="00544572">
        <w:rPr>
          <w:rFonts w:ascii="Arial" w:eastAsia="Arial" w:hAnsi="Arial" w:cs="Arial"/>
          <w:b/>
          <w:sz w:val="20"/>
          <w:szCs w:val="20"/>
        </w:rPr>
        <w:t>$1</w:t>
      </w:r>
      <w:r w:rsidR="00FF5EB1">
        <w:rPr>
          <w:rFonts w:ascii="Arial" w:eastAsia="Arial" w:hAnsi="Arial" w:cs="Arial"/>
          <w:b/>
          <w:sz w:val="20"/>
          <w:szCs w:val="20"/>
        </w:rPr>
        <w:t>13.14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FF5EB1">
        <w:rPr>
          <w:rFonts w:ascii="Arial" w:eastAsia="Arial" w:hAnsi="Arial" w:cs="Arial"/>
          <w:b/>
          <w:sz w:val="20"/>
          <w:szCs w:val="20"/>
        </w:rPr>
        <w:t>trece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FF5EB1">
        <w:rPr>
          <w:rFonts w:ascii="Arial" w:eastAsia="Arial" w:hAnsi="Arial" w:cs="Arial"/>
          <w:b/>
          <w:sz w:val="20"/>
          <w:szCs w:val="20"/>
        </w:rPr>
        <w:t>14</w:t>
      </w:r>
      <w:r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FF5EB1">
        <w:rPr>
          <w:rFonts w:ascii="Arial" w:eastAsia="Arial" w:hAnsi="Arial" w:cs="Arial"/>
          <w:b/>
          <w:sz w:val="20"/>
          <w:szCs w:val="20"/>
        </w:rPr>
        <w:t>1</w:t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FF5EB1">
        <w:rPr>
          <w:rFonts w:ascii="Arial" w:eastAsia="Arial" w:hAnsi="Arial" w:cs="Arial"/>
          <w:b/>
          <w:sz w:val="20"/>
          <w:szCs w:val="20"/>
        </w:rPr>
        <w:t>314</w:t>
      </w:r>
      <w:r w:rsidRPr="00544572">
        <w:rPr>
          <w:rFonts w:ascii="Arial" w:eastAsia="Arial" w:hAnsi="Arial" w:cs="Arial"/>
          <w:b/>
          <w:sz w:val="20"/>
          <w:szCs w:val="20"/>
        </w:rPr>
        <w:t>.00 (</w:t>
      </w:r>
      <w:r w:rsidR="00FF5EB1">
        <w:rPr>
          <w:rFonts w:ascii="Arial" w:eastAsia="Arial" w:hAnsi="Arial" w:cs="Arial"/>
          <w:b/>
          <w:sz w:val="20"/>
          <w:szCs w:val="20"/>
        </w:rPr>
        <w:t>Once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FF5EB1">
        <w:rPr>
          <w:rFonts w:ascii="Arial" w:eastAsia="Arial" w:hAnsi="Arial" w:cs="Arial"/>
          <w:b/>
          <w:sz w:val="20"/>
          <w:szCs w:val="20"/>
        </w:rPr>
        <w:t>trescientos catorce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28"/>
      <w:r w:rsidRPr="00544572">
        <w:rPr>
          <w:rStyle w:val="Refdecomentario"/>
        </w:rPr>
        <w:commentReference w:id="28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22"/>
    <w:p w14:paraId="5890402F" w14:textId="15FCC9F6" w:rsidR="00BE060B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NOVENO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29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30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XXX</w:t>
      </w:r>
      <w:commentRangeEnd w:id="29"/>
      <w:r w:rsidR="008B7CEC" w:rsidRPr="00544572">
        <w:rPr>
          <w:rFonts w:ascii="Arial" w:hAnsi="Arial" w:cs="Arial"/>
          <w:sz w:val="20"/>
          <w:szCs w:val="20"/>
        </w:rPr>
        <w:commentReference w:id="29"/>
      </w:r>
      <w:commentRangeEnd w:id="30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30"/>
      </w:r>
    </w:p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31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31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 [2]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 [2]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8" w:author="MELISSA FERNANDA DUARTE MANZANO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9" w:author="MELISSA FERNANDA DUARTE MANZANO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0" w:author="MELISSA FERNANDA DUARTE MANZANO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1" w:author="MELISSA FERNANDA DUARTE MANZANO [2]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3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14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5" w:author="MELISSA FERNANDA DUARTE MANZANO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16" w:author="MELISSA FERNANDA DUARTE MANZANO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17" w:author="SINAI ALEJANDRA BUSTAMANTE SANCHEZ" w:date="2021-09-08T13:46:00Z" w:initials="">
    <w:p w14:paraId="5B822B29" w14:textId="5124B4D8" w:rsidR="00A26AC9" w:rsidRDefault="00276B38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A26AC9">
        <w:rPr>
          <w:rFonts w:ascii="Arial" w:eastAsia="Arial" w:hAnsi="Arial" w:cs="Arial"/>
          <w:color w:val="000000"/>
        </w:rPr>
        <w:t>Titular de la Entidad auditada</w:t>
      </w:r>
    </w:p>
  </w:comment>
  <w:comment w:id="18" w:author="MELISSA FERNANDA DUARTE MANZANO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19" w:author="MELISSA FERNANDA DUARTE MANZANO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23" w:author="MELISSA FERNANDA DUARTE MANZANO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26" w:author="MELISSA FERNANDA DUARTE MANZANO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7" w:author="MELISSA FERNANDA DUARTE MANZANO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 [2]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29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30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31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234E1DA2" w15:done="0"/>
  <w15:commentEx w15:paraId="06D39550" w15:done="0"/>
  <w15:commentEx w15:paraId="7E13E025" w15:done="0"/>
  <w15:commentEx w15:paraId="5AAC8F27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6D361F53" w15:done="0"/>
  <w15:commentEx w15:paraId="505CB407" w15:done="0"/>
  <w15:commentEx w15:paraId="57664757" w15:done="0"/>
  <w15:commentEx w15:paraId="09CBA635" w15:done="0"/>
  <w15:commentEx w15:paraId="64B3EB4F" w15:done="0"/>
  <w15:commentEx w15:paraId="65572E68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234E1DA2" w16cid:durableId="2A8D9459"/>
  <w16cid:commentId w16cid:paraId="06D39550" w16cid:durableId="2A8D9458"/>
  <w16cid:commentId w16cid:paraId="7E13E025" w16cid:durableId="2A8D945A"/>
  <w16cid:commentId w16cid:paraId="5AAC8F27" w16cid:durableId="25464AB8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6D361F53" w16cid:durableId="2A957C45"/>
  <w16cid:commentId w16cid:paraId="505CB407" w16cid:durableId="2A957C56"/>
  <w16cid:commentId w16cid:paraId="57664757" w16cid:durableId="2A95680B"/>
  <w16cid:commentId w16cid:paraId="09CBA635" w16cid:durableId="2A95680C"/>
  <w16cid:commentId w16cid:paraId="64B3EB4F" w16cid:durableId="2A957CCC"/>
  <w16cid:commentId w16cid:paraId="65572E68" w16cid:durableId="27FE1C53"/>
  <w16cid:commentId w16cid:paraId="34E24FC5" w16cid:durableId="25464A9B"/>
  <w16cid:commentId w16cid:paraId="691B170C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71D6" w14:textId="77777777" w:rsidR="00B71160" w:rsidRDefault="00B71160" w:rsidP="008B7CEC">
      <w:pPr>
        <w:spacing w:after="0" w:line="240" w:lineRule="auto"/>
      </w:pPr>
      <w:r>
        <w:separator/>
      </w:r>
    </w:p>
  </w:endnote>
  <w:endnote w:type="continuationSeparator" w:id="0">
    <w:p w14:paraId="417AB82B" w14:textId="77777777" w:rsidR="00B71160" w:rsidRDefault="00B71160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6" w:name="_Hlk134092981"/>
    <w:bookmarkStart w:id="37" w:name="_Hlk86140406"/>
    <w:bookmarkStart w:id="38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36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37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8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8A06A" w14:textId="77777777" w:rsidR="00B71160" w:rsidRDefault="00B71160" w:rsidP="008B7CEC">
      <w:pPr>
        <w:spacing w:after="0" w:line="240" w:lineRule="auto"/>
      </w:pPr>
      <w:r>
        <w:separator/>
      </w:r>
    </w:p>
  </w:footnote>
  <w:footnote w:type="continuationSeparator" w:id="0">
    <w:p w14:paraId="6CE49265" w14:textId="77777777" w:rsidR="00B71160" w:rsidRDefault="00B71160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32" w:name="_Hlk86138422"/>
          <w:bookmarkStart w:id="33" w:name="_Hlk86138423"/>
          <w:bookmarkStart w:id="34" w:name="_Hlk86138433"/>
          <w:bookmarkStart w:id="35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B71160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B71160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32"/>
  <w:bookmarkEnd w:id="33"/>
  <w:bookmarkEnd w:id="34"/>
  <w:bookmarkEnd w:id="35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B71160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76B38"/>
    <w:rsid w:val="00292108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75855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25E3C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71160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CF07D-32DC-4314-A154-2D93EBD4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63</cp:revision>
  <cp:lastPrinted>2022-01-06T19:26:00Z</cp:lastPrinted>
  <dcterms:created xsi:type="dcterms:W3CDTF">2022-06-13T21:40:00Z</dcterms:created>
  <dcterms:modified xsi:type="dcterms:W3CDTF">2025-01-13T21:17:00Z</dcterms:modified>
</cp:coreProperties>
</file>