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06B7E" w14:textId="77777777" w:rsidR="00330FAF" w:rsidRPr="00D117D6" w:rsidRDefault="00330FAF" w:rsidP="00330FAF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0"/>
        </w:rPr>
        <w:t>Armando Molina Franco</w:t>
      </w:r>
    </w:p>
    <w:p w14:paraId="5B68A4BA" w14:textId="77777777" w:rsidR="00330FAF" w:rsidRDefault="00330FAF" w:rsidP="00330FAF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 w:rsidRPr="00D117D6">
        <w:rPr>
          <w:rFonts w:ascii="Arial" w:eastAsia="Arial" w:hAnsi="Arial" w:cs="Arial"/>
          <w:b/>
          <w:sz w:val="20"/>
        </w:rPr>
        <w:t xml:space="preserve">Titular de la Unidad de Investigación </w:t>
      </w:r>
    </w:p>
    <w:p w14:paraId="58845966" w14:textId="77777777" w:rsidR="00330FAF" w:rsidRPr="00D117D6" w:rsidRDefault="00330FAF" w:rsidP="00330FAF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</w:t>
      </w:r>
      <w:r w:rsidRPr="00D117D6">
        <w:rPr>
          <w:rFonts w:ascii="Arial" w:eastAsia="Arial" w:hAnsi="Arial" w:cs="Arial"/>
          <w:b/>
          <w:sz w:val="20"/>
        </w:rPr>
        <w:t>el</w:t>
      </w:r>
      <w:r>
        <w:rPr>
          <w:rFonts w:ascii="Arial" w:eastAsia="Arial" w:hAnsi="Arial" w:cs="Arial"/>
          <w:b/>
          <w:sz w:val="20"/>
        </w:rPr>
        <w:t xml:space="preserve"> </w:t>
      </w:r>
      <w:r w:rsidRPr="00D117D6">
        <w:rPr>
          <w:rFonts w:ascii="Arial" w:eastAsia="Arial" w:hAnsi="Arial" w:cs="Arial"/>
          <w:b/>
          <w:sz w:val="20"/>
        </w:rPr>
        <w:t>Órgano Superior de Fiscalización del Estado de México</w:t>
      </w:r>
    </w:p>
    <w:p w14:paraId="6866721F" w14:textId="77777777" w:rsidR="00330FAF" w:rsidRPr="00D117D6" w:rsidRDefault="00330FAF" w:rsidP="00330FAF">
      <w:pPr>
        <w:spacing w:after="0" w:line="276" w:lineRule="auto"/>
        <w:ind w:right="4581"/>
        <w:rPr>
          <w:rFonts w:ascii="Arial" w:eastAsia="Arial" w:hAnsi="Arial" w:cs="Arial"/>
          <w:b/>
          <w:spacing w:val="74"/>
          <w:sz w:val="20"/>
        </w:rPr>
      </w:pPr>
      <w:r w:rsidRPr="00D117D6">
        <w:rPr>
          <w:rFonts w:ascii="Arial" w:eastAsia="Arial" w:hAnsi="Arial" w:cs="Arial"/>
          <w:b/>
          <w:spacing w:val="74"/>
          <w:sz w:val="20"/>
        </w:rPr>
        <w:t>Presente</w:t>
      </w:r>
    </w:p>
    <w:p w14:paraId="286783E2" w14:textId="268AAF2B" w:rsidR="00605857" w:rsidRPr="00D117D6" w:rsidRDefault="0060585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Con fundamento en los artículos </w:t>
      </w:r>
      <w:r w:rsidR="00E64950" w:rsidRPr="00D117D6">
        <w:rPr>
          <w:rFonts w:ascii="Arial" w:hAnsi="Arial" w:cs="Arial"/>
          <w:sz w:val="20"/>
          <w:szCs w:val="20"/>
        </w:rPr>
        <w:t xml:space="preserve">16, </w:t>
      </w:r>
      <w:commentRangeStart w:id="1"/>
      <w:r w:rsidR="00E64950" w:rsidRPr="00D117D6">
        <w:rPr>
          <w:rFonts w:ascii="Arial" w:hAnsi="Arial" w:cs="Arial"/>
          <w:sz w:val="20"/>
          <w:szCs w:val="20"/>
        </w:rPr>
        <w:t>115 fracción IV penúltimo párrafo</w:t>
      </w:r>
      <w:commentRangeEnd w:id="1"/>
      <w:r w:rsidR="00E64950" w:rsidRPr="00D117D6">
        <w:rPr>
          <w:rStyle w:val="Refdecomentario"/>
          <w:sz w:val="20"/>
          <w:szCs w:val="20"/>
        </w:rPr>
        <w:commentReference w:id="1"/>
      </w:r>
      <w:r w:rsidR="00E64950" w:rsidRPr="00D117D6">
        <w:rPr>
          <w:rFonts w:ascii="Arial" w:hAnsi="Arial" w:cs="Arial"/>
          <w:sz w:val="20"/>
          <w:szCs w:val="20"/>
        </w:rPr>
        <w:t>, 116 fracción II</w:t>
      </w:r>
      <w:r w:rsidR="00E64950" w:rsidRPr="00D117D6">
        <w:rPr>
          <w:rFonts w:ascii="Arial" w:eastAsia="Arial" w:hAnsi="Arial" w:cs="Arial"/>
          <w:sz w:val="20"/>
          <w:szCs w:val="20"/>
        </w:rPr>
        <w:t xml:space="preserve"> sexto párrafo</w:t>
      </w:r>
      <w:r w:rsidR="00E64950" w:rsidRPr="00D117D6">
        <w:rPr>
          <w:rFonts w:ascii="Arial" w:eastAsia="Arial" w:hAnsi="Arial" w:cs="Arial"/>
          <w:sz w:val="20"/>
        </w:rPr>
        <w:t xml:space="preserve">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="00E64950" w:rsidRPr="00D117D6">
        <w:rPr>
          <w:rFonts w:ascii="Arial" w:hAnsi="Arial" w:cs="Arial"/>
          <w:sz w:val="20"/>
          <w:szCs w:val="20"/>
        </w:rPr>
        <w:t xml:space="preserve">1, 3, 4 </w:t>
      </w:r>
      <w:commentRangeStart w:id="2"/>
      <w:r w:rsidR="00E64950" w:rsidRPr="00D117D6">
        <w:rPr>
          <w:rFonts w:ascii="Arial" w:hAnsi="Arial" w:cs="Arial"/>
          <w:iCs/>
          <w:sz w:val="20"/>
          <w:szCs w:val="20"/>
        </w:rPr>
        <w:t>fracción</w:t>
      </w:r>
      <w:r w:rsidR="004369ED" w:rsidRPr="00D117D6">
        <w:rPr>
          <w:rFonts w:ascii="Arial" w:hAnsi="Arial" w:cs="Arial"/>
          <w:iCs/>
          <w:sz w:val="20"/>
          <w:szCs w:val="20"/>
        </w:rPr>
        <w:t xml:space="preserve"> </w:t>
      </w:r>
      <w:r w:rsidR="004369ED" w:rsidRPr="00D117D6">
        <w:rPr>
          <w:rFonts w:ascii="Arial" w:hAnsi="Arial" w:cs="Arial"/>
          <w:iCs/>
          <w:sz w:val="20"/>
          <w:szCs w:val="20"/>
          <w:highlight w:val="yellow"/>
        </w:rPr>
        <w:t>XXXX</w:t>
      </w:r>
      <w:r w:rsidR="00E64950" w:rsidRPr="00D117D6">
        <w:rPr>
          <w:rFonts w:ascii="Arial" w:hAnsi="Arial" w:cs="Arial"/>
          <w:iCs/>
          <w:sz w:val="20"/>
          <w:szCs w:val="20"/>
          <w:highlight w:val="yellow"/>
        </w:rPr>
        <w:t xml:space="preserve"> </w:t>
      </w:r>
      <w:commentRangeEnd w:id="2"/>
      <w:r w:rsidR="00E64950" w:rsidRPr="00D117D6">
        <w:rPr>
          <w:rFonts w:ascii="Arial" w:hAnsi="Arial" w:cs="Arial"/>
          <w:iCs/>
          <w:sz w:val="20"/>
          <w:szCs w:val="20"/>
          <w:highlight w:val="yellow"/>
        </w:rPr>
        <w:commentReference w:id="2"/>
      </w:r>
      <w:r w:rsidR="00E64950" w:rsidRPr="00D117D6">
        <w:rPr>
          <w:rFonts w:ascii="Arial" w:hAnsi="Arial" w:cs="Arial"/>
          <w:iCs/>
          <w:sz w:val="20"/>
          <w:szCs w:val="20"/>
        </w:rPr>
        <w:t>, 5, 6,</w:t>
      </w:r>
      <w:r w:rsidR="00E64950" w:rsidRPr="00D117D6">
        <w:rPr>
          <w:rFonts w:ascii="Arial" w:eastAsia="Arial" w:hAnsi="Arial" w:cs="Arial"/>
          <w:sz w:val="20"/>
        </w:rPr>
        <w:t xml:space="preserve"> </w:t>
      </w:r>
      <w:r w:rsidRPr="00D117D6">
        <w:rPr>
          <w:rFonts w:ascii="Arial" w:eastAsia="Arial" w:hAnsi="Arial" w:cs="Arial"/>
          <w:sz w:val="20"/>
        </w:rPr>
        <w:t>7, 8</w:t>
      </w:r>
      <w:r w:rsidR="008A28AD" w:rsidRPr="00D117D6">
        <w:rPr>
          <w:rFonts w:ascii="Arial" w:eastAsia="Arial" w:hAnsi="Arial" w:cs="Arial"/>
          <w:sz w:val="20"/>
        </w:rPr>
        <w:t xml:space="preserve">, </w:t>
      </w:r>
      <w:r w:rsidRPr="00D117D6">
        <w:rPr>
          <w:rFonts w:ascii="Arial" w:eastAsia="Arial" w:hAnsi="Arial" w:cs="Arial"/>
          <w:sz w:val="20"/>
        </w:rPr>
        <w:t xml:space="preserve">9, 21, 53 y 54 de la Ley de Fiscalización Superior del Estado de México y; </w:t>
      </w:r>
      <w:r w:rsidR="00646AB4" w:rsidRPr="00D117D6">
        <w:rPr>
          <w:rFonts w:ascii="Arial" w:eastAsia="Arial" w:hAnsi="Arial" w:cs="Arial"/>
          <w:sz w:val="20"/>
          <w:szCs w:val="20"/>
        </w:rPr>
        <w:t xml:space="preserve">3 fracciones XIII Bis, </w:t>
      </w:r>
      <w:r w:rsidRPr="00D117D6">
        <w:rPr>
          <w:rFonts w:ascii="Arial" w:eastAsia="Arial" w:hAnsi="Arial" w:cs="Arial"/>
          <w:sz w:val="20"/>
        </w:rPr>
        <w:t>4, 6 fracciones XVIII y XXXVII</w:t>
      </w:r>
      <w:r w:rsidR="00646AB4" w:rsidRPr="00D117D6">
        <w:rPr>
          <w:rFonts w:ascii="Arial" w:eastAsia="Arial" w:hAnsi="Arial" w:cs="Arial"/>
          <w:sz w:val="20"/>
        </w:rPr>
        <w:t xml:space="preserve">, </w:t>
      </w:r>
      <w:r w:rsidR="00646AB4" w:rsidRPr="00D117D6">
        <w:rPr>
          <w:rFonts w:ascii="Arial" w:eastAsia="Arial" w:hAnsi="Arial" w:cs="Arial"/>
          <w:sz w:val="20"/>
          <w:szCs w:val="20"/>
        </w:rPr>
        <w:t xml:space="preserve">23 fracciones XIX y XLIV </w:t>
      </w:r>
      <w:r w:rsidRPr="00D117D6">
        <w:rPr>
          <w:rFonts w:ascii="Arial" w:eastAsia="Arial" w:hAnsi="Arial" w:cs="Arial"/>
          <w:sz w:val="20"/>
        </w:rPr>
        <w:t xml:space="preserve"> y 47 fracciones III, XII, XVIII y XIX del Reglamento Interior del Órgano Superior de Fiscalización del Estado de México</w:t>
      </w:r>
      <w:r w:rsidRPr="00D117D6">
        <w:rPr>
          <w:rFonts w:ascii="Arial" w:hAnsi="Arial" w:cs="Arial"/>
          <w:sz w:val="20"/>
        </w:rPr>
        <w:t>,</w:t>
      </w:r>
      <w:r w:rsidRPr="00D117D6">
        <w:rPr>
          <w:rFonts w:ascii="Arial" w:eastAsia="Arial" w:hAnsi="Arial" w:cs="Arial"/>
          <w:sz w:val="20"/>
        </w:rPr>
        <w:t xml:space="preserve"> se comunica lo siguiente:</w:t>
      </w:r>
    </w:p>
    <w:p w14:paraId="3F7A10B1" w14:textId="77777777" w:rsidR="00330FAF" w:rsidRPr="00D117D6" w:rsidRDefault="00AA3484" w:rsidP="00330FAF">
      <w:pPr>
        <w:spacing w:before="240" w:after="240" w:line="276" w:lineRule="auto"/>
        <w:jc w:val="both"/>
        <w:rPr>
          <w:rFonts w:ascii="Arial" w:eastAsia="Arial" w:hAnsi="Arial" w:cs="Arial"/>
          <w:strike/>
        </w:rPr>
      </w:pPr>
      <w:bookmarkStart w:id="3" w:name="_heading=h.6bcq8kpk8uq1" w:colFirst="0" w:colLast="0"/>
      <w:bookmarkStart w:id="4" w:name="_heading=h.kr13sdxf2svy" w:colFirst="0" w:colLast="0"/>
      <w:bookmarkEnd w:id="3"/>
      <w:bookmarkEnd w:id="4"/>
      <w:r w:rsidRPr="00D117D6">
        <w:rPr>
          <w:rFonts w:ascii="Arial" w:eastAsia="Arial" w:hAnsi="Arial" w:cs="Arial"/>
          <w:sz w:val="20"/>
          <w:szCs w:val="20"/>
        </w:rPr>
        <w:t xml:space="preserve">Que derivado de </w:t>
      </w:r>
      <w:r w:rsidRPr="00D117D6">
        <w:rPr>
          <w:rFonts w:ascii="Arial" w:hAnsi="Arial" w:cs="Arial"/>
          <w:bCs/>
          <w:sz w:val="20"/>
          <w:szCs w:val="20"/>
        </w:rPr>
        <w:t xml:space="preserve">la </w:t>
      </w:r>
      <w:r w:rsidRPr="00D117D6">
        <w:rPr>
          <w:rFonts w:ascii="Arial" w:hAnsi="Arial" w:cs="Arial"/>
          <w:b/>
          <w:sz w:val="20"/>
          <w:szCs w:val="20"/>
        </w:rPr>
        <w:t xml:space="preserve">Auditoría </w:t>
      </w:r>
      <w:r w:rsidR="00D36EA5" w:rsidRPr="00D36EA5">
        <w:rPr>
          <w:rFonts w:ascii="Arial" w:hAnsi="Arial" w:cs="Arial"/>
          <w:b/>
          <w:sz w:val="20"/>
          <w:szCs w:val="20"/>
        </w:rPr>
        <w:t xml:space="preserve">de </w:t>
      </w:r>
      <w:r w:rsidR="00B2383C">
        <w:rPr>
          <w:rFonts w:ascii="Arial" w:hAnsi="Arial" w:cs="Arial"/>
          <w:b/>
          <w:sz w:val="20"/>
          <w:szCs w:val="20"/>
        </w:rPr>
        <w:t>Legalidad</w:t>
      </w:r>
      <w:r w:rsidR="00D36EA5">
        <w:rPr>
          <w:rFonts w:ascii="Arial" w:hAnsi="Arial" w:cs="Arial"/>
          <w:b/>
          <w:sz w:val="20"/>
          <w:szCs w:val="20"/>
        </w:rPr>
        <w:t xml:space="preserve">, </w:t>
      </w:r>
      <w:bookmarkStart w:id="5" w:name="_Hlk101883846"/>
      <w:r w:rsidR="00330FAF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6"/>
        </w:sdtContent>
      </w:sdt>
      <w:r w:rsidR="00330FAF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6"/>
      <w:r w:rsidR="00330FAF" w:rsidRPr="001C7F01">
        <w:rPr>
          <w:b/>
        </w:rPr>
        <w:commentReference w:id="6"/>
      </w:r>
      <w:r w:rsidR="00330FAF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7"/>
        </w:sdtContent>
      </w:sdt>
      <w:r w:rsidR="00330FAF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7"/>
      <w:r w:rsidR="00330FAF" w:rsidRPr="001C7F01">
        <w:rPr>
          <w:b/>
        </w:rPr>
        <w:commentReference w:id="7"/>
      </w:r>
      <w:r w:rsidR="00330FAF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330FAF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330FAF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330FAF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8"/>
      <w:r w:rsidR="00330FAF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8"/>
      <w:r w:rsidR="00330FAF" w:rsidRPr="007D6871">
        <w:rPr>
          <w:rStyle w:val="Refdecomentario"/>
          <w:b/>
        </w:rPr>
        <w:commentReference w:id="8"/>
      </w:r>
      <w:r w:rsidR="00330FAF">
        <w:rPr>
          <w:rFonts w:ascii="Arial" w:hAnsi="Arial" w:cs="Arial"/>
          <w:bCs/>
          <w:sz w:val="20"/>
          <w:szCs w:val="20"/>
        </w:rPr>
        <w:t>;</w:t>
      </w:r>
      <w:r w:rsidR="00330FAF">
        <w:rPr>
          <w:rFonts w:ascii="Arial" w:eastAsia="Arial" w:hAnsi="Arial" w:cs="Arial"/>
          <w:sz w:val="20"/>
          <w:szCs w:val="20"/>
        </w:rPr>
        <w:t xml:space="preserve"> e</w:t>
      </w:r>
      <w:r w:rsidR="00330FAF" w:rsidRPr="00D117D6">
        <w:rPr>
          <w:rFonts w:ascii="Arial" w:hAnsi="Arial" w:cs="Arial"/>
          <w:bCs/>
          <w:sz w:val="20"/>
          <w:szCs w:val="20"/>
        </w:rPr>
        <w:t xml:space="preserve">sta autoridad llevó a cabo el desahogo de la Etapa de Aclaración de las observaciones correspondientes, por lo </w:t>
      </w:r>
      <w:proofErr w:type="gramStart"/>
      <w:r w:rsidR="00330FAF" w:rsidRPr="00D117D6">
        <w:rPr>
          <w:rFonts w:ascii="Arial" w:hAnsi="Arial" w:cs="Arial"/>
          <w:bCs/>
          <w:sz w:val="20"/>
          <w:szCs w:val="20"/>
        </w:rPr>
        <w:t>que</w:t>
      </w:r>
      <w:proofErr w:type="gramEnd"/>
      <w:r w:rsidR="00330FAF" w:rsidRPr="00D117D6">
        <w:rPr>
          <w:rFonts w:ascii="Arial" w:hAnsi="Arial" w:cs="Arial"/>
          <w:bCs/>
          <w:sz w:val="20"/>
          <w:szCs w:val="20"/>
        </w:rPr>
        <w:t xml:space="preserve"> </w:t>
      </w:r>
      <w:r w:rsidR="00330FAF" w:rsidRPr="00D117D6">
        <w:rPr>
          <w:rFonts w:ascii="Arial" w:eastAsia="Arial" w:hAnsi="Arial" w:cs="Arial"/>
          <w:sz w:val="20"/>
        </w:rPr>
        <w:t>agotada la instancia respectiva</w:t>
      </w:r>
      <w:r w:rsidR="00330FAF" w:rsidRPr="00D117D6">
        <w:rPr>
          <w:rFonts w:ascii="Arial" w:eastAsia="Arial" w:hAnsi="Arial" w:cs="Arial"/>
          <w:sz w:val="20"/>
          <w:szCs w:val="20"/>
        </w:rPr>
        <w:t xml:space="preserve">, se llegó a la conclusión de </w:t>
      </w:r>
      <w:r w:rsidR="00330FAF" w:rsidRPr="00D117D6">
        <w:rPr>
          <w:rFonts w:ascii="Arial" w:eastAsia="Arial" w:hAnsi="Arial" w:cs="Arial"/>
          <w:sz w:val="20"/>
        </w:rPr>
        <w:t xml:space="preserve">que </w:t>
      </w:r>
      <w:commentRangeStart w:id="9"/>
      <w:r w:rsidR="00330FAF" w:rsidRPr="00D117D6">
        <w:rPr>
          <w:rFonts w:ascii="Arial" w:eastAsia="Arial" w:hAnsi="Arial" w:cs="Arial"/>
          <w:sz w:val="20"/>
        </w:rPr>
        <w:t xml:space="preserve">los Pliegos de Observaciones identificados con clave de acción: </w:t>
      </w:r>
      <w:r w:rsidR="00330FAF" w:rsidRPr="00D117D6">
        <w:rPr>
          <w:rFonts w:ascii="Arial" w:eastAsia="Arial" w:hAnsi="Arial" w:cs="Arial"/>
          <w:b/>
          <w:sz w:val="20"/>
        </w:rPr>
        <w:t>XXX</w:t>
      </w:r>
      <w:r w:rsidR="00330FAF" w:rsidRPr="00D117D6">
        <w:rPr>
          <w:rFonts w:ascii="Arial" w:eastAsia="Arial" w:hAnsi="Arial" w:cs="Arial"/>
          <w:sz w:val="20"/>
        </w:rPr>
        <w:t>, se encuentran no aclarados ni solventados</w:t>
      </w:r>
      <w:commentRangeEnd w:id="9"/>
      <w:r w:rsidR="00330FA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330FAF" w:rsidRPr="00D117D6">
        <w:rPr>
          <w:rFonts w:ascii="Arial" w:eastAsia="Arial" w:hAnsi="Arial" w:cs="Arial"/>
          <w:sz w:val="20"/>
        </w:rPr>
        <w:t xml:space="preserve">. </w:t>
      </w:r>
      <w:r w:rsidR="00330FAF" w:rsidRPr="00D117D6">
        <w:rPr>
          <w:rFonts w:ascii="Arial" w:eastAsia="Arial" w:hAnsi="Arial" w:cs="Arial"/>
          <w:b/>
          <w:sz w:val="20"/>
        </w:rPr>
        <w:t xml:space="preserve"> </w:t>
      </w:r>
    </w:p>
    <w:p w14:paraId="48DF1FE1" w14:textId="77777777" w:rsidR="00330FAF" w:rsidRPr="00D117D6" w:rsidRDefault="00330FAF" w:rsidP="00330FAF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A mayor abundamiento, se deberá </w:t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remitir </w:t>
      </w:r>
      <w:commentRangeStart w:id="10"/>
      <w:r>
        <w:rPr>
          <w:rFonts w:ascii="Arial" w:eastAsia="Arial" w:hAnsi="Arial" w:cs="Arial"/>
          <w:sz w:val="20"/>
          <w:shd w:val="clear" w:color="auto" w:fill="FFFFFF" w:themeFill="background1"/>
        </w:rPr>
        <w:t xml:space="preserve">al </w:t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>Informe de Seguimiento que fue notificado mediante oficio</w:t>
      </w:r>
      <w:r>
        <w:rPr>
          <w:rFonts w:ascii="Arial" w:eastAsia="Arial" w:hAnsi="Arial" w:cs="Arial"/>
          <w:sz w:val="20"/>
          <w:shd w:val="clear" w:color="auto" w:fill="FFFFFF" w:themeFill="background1"/>
        </w:rPr>
        <w:t xml:space="preserve"> número</w:t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 </w:t>
      </w:r>
      <w:commentRangeStart w:id="11"/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>XXX</w:t>
      </w:r>
      <w:commentRangeEnd w:id="1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, de fecha </w:t>
      </w:r>
      <w:commentRangeStart w:id="12"/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XX </w:t>
      </w:r>
      <w:commentRangeEnd w:id="1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(a fojas </w:t>
      </w:r>
      <w:commentRangeStart w:id="13"/>
      <w:r w:rsidRPr="00AB45C1">
        <w:rPr>
          <w:rFonts w:ascii="Arial" w:hAnsi="Arial" w:cs="Arial"/>
          <w:sz w:val="20"/>
          <w:szCs w:val="20"/>
        </w:rPr>
        <w:t>XXX</w:t>
      </w:r>
      <w:commentRangeEnd w:id="13"/>
      <w:r>
        <w:rPr>
          <w:rStyle w:val="Refdecomentario"/>
        </w:rPr>
        <w:commentReference w:id="13"/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), </w:t>
      </w:r>
      <w:commentRangeEnd w:id="1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>documental que se encuentra</w:t>
      </w:r>
      <w:r w:rsidRPr="00D117D6">
        <w:rPr>
          <w:rFonts w:ascii="Arial" w:eastAsia="Arial" w:hAnsi="Arial" w:cs="Arial"/>
          <w:sz w:val="20"/>
        </w:rPr>
        <w:t xml:space="preserve"> integrada a los autos del expediente </w:t>
      </w:r>
      <w:bookmarkStart w:id="14" w:name="_Hlk106707383"/>
      <w:r w:rsidRPr="00D117D6">
        <w:rPr>
          <w:rFonts w:ascii="Arial" w:eastAsia="Arial" w:hAnsi="Arial" w:cs="Arial"/>
          <w:sz w:val="20"/>
        </w:rPr>
        <w:t>de la Etapa de Aclaración</w:t>
      </w:r>
      <w:bookmarkEnd w:id="14"/>
      <w:r w:rsidRPr="00D117D6">
        <w:rPr>
          <w:rFonts w:ascii="Arial" w:eastAsia="Arial" w:hAnsi="Arial" w:cs="Arial"/>
          <w:sz w:val="20"/>
        </w:rPr>
        <w:t xml:space="preserve">. </w:t>
      </w:r>
    </w:p>
    <w:p w14:paraId="32D6E2D1" w14:textId="77777777" w:rsidR="00330FAF" w:rsidRPr="00D117D6" w:rsidRDefault="00330FAF" w:rsidP="00330FAF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Por lo anterior, se adjunta al presente la siguiente documentación: </w:t>
      </w:r>
    </w:p>
    <w:p w14:paraId="78C82ADD" w14:textId="77777777" w:rsidR="00330FAF" w:rsidRPr="00D117D6" w:rsidRDefault="00330FAF" w:rsidP="00330FAF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Expediente Técnico de Auditoría </w:t>
      </w:r>
      <w:r w:rsidRPr="00D117D6">
        <w:rPr>
          <w:rFonts w:ascii="Arial" w:hAnsi="Arial" w:cs="Arial"/>
          <w:sz w:val="20"/>
          <w:szCs w:val="20"/>
        </w:rPr>
        <w:t xml:space="preserve">constante de </w:t>
      </w:r>
      <w:commentRangeStart w:id="15"/>
      <w:r w:rsidRPr="00AB45C1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5"/>
      <w:r>
        <w:rPr>
          <w:rStyle w:val="Refdecomentario"/>
        </w:rPr>
        <w:commentReference w:id="15"/>
      </w:r>
      <w:r w:rsidRPr="00D117D6">
        <w:rPr>
          <w:rFonts w:ascii="Arial" w:hAnsi="Arial" w:cs="Arial"/>
          <w:sz w:val="20"/>
          <w:szCs w:val="20"/>
        </w:rPr>
        <w:t xml:space="preserve">legajos que contienen </w:t>
      </w:r>
      <w:commentRangeStart w:id="16"/>
      <w:r w:rsidRPr="00AB45C1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6"/>
      <w:r>
        <w:rPr>
          <w:rStyle w:val="Refdecomentario"/>
        </w:rPr>
        <w:commentReference w:id="16"/>
      </w:r>
      <w:r w:rsidRPr="00D117D6">
        <w:rPr>
          <w:rFonts w:ascii="Arial" w:hAnsi="Arial" w:cs="Arial"/>
          <w:sz w:val="20"/>
          <w:szCs w:val="20"/>
        </w:rPr>
        <w:t>fojas útiles.</w:t>
      </w:r>
    </w:p>
    <w:p w14:paraId="3221504E" w14:textId="77777777" w:rsidR="00330FAF" w:rsidRPr="00D117D6" w:rsidRDefault="00330FAF" w:rsidP="00330FAF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>Expediente de la Etapa de Aclaración</w:t>
      </w:r>
      <w:r w:rsidRPr="00D117D6">
        <w:rPr>
          <w:rFonts w:ascii="Arial" w:hAnsi="Arial" w:cs="Arial"/>
          <w:sz w:val="20"/>
          <w:szCs w:val="20"/>
        </w:rPr>
        <w:t xml:space="preserve"> constante de </w:t>
      </w:r>
      <w:commentRangeStart w:id="17"/>
      <w:r w:rsidRPr="00AB45C1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7"/>
      <w:r>
        <w:rPr>
          <w:rStyle w:val="Refdecomentario"/>
        </w:rPr>
        <w:commentReference w:id="17"/>
      </w:r>
      <w:r w:rsidRPr="00D117D6">
        <w:rPr>
          <w:rFonts w:ascii="Arial" w:hAnsi="Arial" w:cs="Arial"/>
          <w:sz w:val="20"/>
          <w:szCs w:val="20"/>
        </w:rPr>
        <w:t xml:space="preserve">legajos que contienen </w:t>
      </w:r>
      <w:commentRangeStart w:id="18"/>
      <w:r w:rsidRPr="00AB45C1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8"/>
      <w:r>
        <w:rPr>
          <w:rStyle w:val="Refdecomentario"/>
        </w:rPr>
        <w:commentReference w:id="18"/>
      </w:r>
      <w:r w:rsidRPr="00D117D6">
        <w:rPr>
          <w:rFonts w:ascii="Arial" w:hAnsi="Arial" w:cs="Arial"/>
          <w:sz w:val="20"/>
          <w:szCs w:val="20"/>
        </w:rPr>
        <w:t>fojas útiles.</w:t>
      </w:r>
    </w:p>
    <w:p w14:paraId="43128917" w14:textId="77777777" w:rsidR="00330FAF" w:rsidRPr="00D117D6" w:rsidRDefault="00330FAF" w:rsidP="00330FAF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Lo anterior, para </w:t>
      </w:r>
      <w:proofErr w:type="gramStart"/>
      <w:r w:rsidRPr="00D117D6">
        <w:rPr>
          <w:rFonts w:ascii="Arial" w:eastAsia="Arial" w:hAnsi="Arial" w:cs="Arial"/>
          <w:sz w:val="20"/>
        </w:rPr>
        <w:t>que</w:t>
      </w:r>
      <w:proofErr w:type="gramEnd"/>
      <w:r w:rsidRPr="00D117D6">
        <w:rPr>
          <w:rFonts w:ascii="Arial" w:eastAsia="Arial" w:hAnsi="Arial" w:cs="Arial"/>
          <w:sz w:val="20"/>
        </w:rPr>
        <w:t xml:space="preserve"> en el ámbito de su competencia, determine lo conducente en términos de la Ley General de Responsabilidades Administrativas, la Ley de Responsabilidades Administrativas del Estado de México y Municipios, la Ley de Fiscalización Superior del Estado de México y demás disposiciones jurídicas aplicables.</w:t>
      </w:r>
    </w:p>
    <w:p w14:paraId="045659AD" w14:textId="32C80BD1" w:rsidR="008C5A16" w:rsidRPr="00D117D6" w:rsidRDefault="008C5A16" w:rsidP="00330FAF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9" w:name="_GoBack"/>
      <w:bookmarkEnd w:id="19"/>
      <w:r w:rsidRPr="00D117D6">
        <w:rPr>
          <w:rFonts w:ascii="Arial" w:eastAsia="Arial" w:hAnsi="Arial" w:cs="Arial"/>
          <w:sz w:val="20"/>
          <w:szCs w:val="20"/>
        </w:rPr>
        <w:t xml:space="preserve">Sin otro particular </w:t>
      </w:r>
      <w:r w:rsidR="004369ED" w:rsidRPr="00D117D6">
        <w:rPr>
          <w:rFonts w:ascii="Arial" w:eastAsia="Arial" w:hAnsi="Arial" w:cs="Arial"/>
          <w:sz w:val="20"/>
          <w:szCs w:val="20"/>
        </w:rPr>
        <w:t xml:space="preserve">por </w:t>
      </w:r>
      <w:r w:rsidRPr="00D117D6">
        <w:rPr>
          <w:rFonts w:ascii="Arial" w:eastAsia="Arial" w:hAnsi="Arial" w:cs="Arial"/>
          <w:sz w:val="20"/>
          <w:szCs w:val="20"/>
        </w:rPr>
        <w:t>e</w:t>
      </w:r>
      <w:r w:rsidR="004369ED" w:rsidRPr="00D117D6">
        <w:rPr>
          <w:rFonts w:ascii="Arial" w:eastAsia="Arial" w:hAnsi="Arial" w:cs="Arial"/>
          <w:sz w:val="20"/>
          <w:szCs w:val="20"/>
        </w:rPr>
        <w:t>l</w:t>
      </w:r>
      <w:r w:rsidRPr="00D117D6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77008C9D" w14:textId="6B1F6675" w:rsidR="00030477" w:rsidRPr="00D117D6" w:rsidRDefault="0003047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2EAA876C" w14:textId="77777777" w:rsidR="00030477" w:rsidRPr="00D117D6" w:rsidRDefault="0003047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FBAE450" w14:textId="77777777" w:rsidR="008C5A16" w:rsidRPr="00D117D6" w:rsidRDefault="008C5A16" w:rsidP="006A47B8">
      <w:pPr>
        <w:tabs>
          <w:tab w:val="left" w:pos="4290"/>
        </w:tabs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0F3DA011" w14:textId="2636C850" w:rsidR="008C5A16" w:rsidRPr="00D117D6" w:rsidRDefault="008C5A16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EAF6847" w14:textId="77777777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A326D96" w14:textId="4A401CA5" w:rsidR="008C5A16" w:rsidRPr="00D117D6" w:rsidRDefault="008C5A16" w:rsidP="006A47B8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01944C2A" w14:textId="77777777" w:rsidR="004369ED" w:rsidRPr="00D117D6" w:rsidRDefault="004369ED" w:rsidP="006A47B8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897D044" w14:textId="131D90E1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704BC8D9" w14:textId="77777777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B4CAC49" w14:textId="77777777" w:rsidR="008C5A16" w:rsidRPr="00D117D6" w:rsidRDefault="008C5A16" w:rsidP="006A47B8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77A32CE" w14:textId="77777777" w:rsidR="008C5A16" w:rsidRPr="00D117D6" w:rsidRDefault="008C5A16" w:rsidP="006A47B8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D117D6">
        <w:rPr>
          <w:rFonts w:ascii="Arial" w:eastAsia="Arial" w:hAnsi="Arial" w:cs="Arial"/>
          <w:b/>
          <w:sz w:val="12"/>
          <w:szCs w:val="14"/>
        </w:rPr>
        <w:t>C.c.p.</w:t>
      </w:r>
      <w:r w:rsidRPr="00D117D6">
        <w:rPr>
          <w:rFonts w:ascii="Arial" w:eastAsia="Arial" w:hAnsi="Arial" w:cs="Arial"/>
          <w:sz w:val="12"/>
          <w:szCs w:val="14"/>
        </w:rPr>
        <w:tab/>
        <w:t>Archivo</w:t>
      </w:r>
    </w:p>
    <w:p w14:paraId="6183C1E7" w14:textId="58002DDA" w:rsidR="008C5A16" w:rsidRPr="00D117D6" w:rsidRDefault="008C5A16" w:rsidP="006A47B8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  <w:commentRangeStart w:id="20"/>
      <w:r w:rsidRPr="00D117D6">
        <w:rPr>
          <w:rFonts w:ascii="Arial" w:eastAsia="Arial" w:hAnsi="Arial" w:cs="Arial"/>
          <w:sz w:val="12"/>
          <w:szCs w:val="14"/>
        </w:rPr>
        <w:t>LISV/XXX/XXXX/XXX/XXXX*</w:t>
      </w:r>
      <w:commentRangeEnd w:id="20"/>
      <w:r w:rsidRPr="00D117D6">
        <w:rPr>
          <w:rStyle w:val="Refdecomentario"/>
        </w:rPr>
        <w:commentReference w:id="20"/>
      </w:r>
      <w:bookmarkEnd w:id="5"/>
    </w:p>
    <w:sectPr w:rsidR="008C5A16" w:rsidRPr="00D117D6" w:rsidSect="00D117D6">
      <w:headerReference w:type="default" r:id="rId10"/>
      <w:footerReference w:type="default" r:id="rId11"/>
      <w:pgSz w:w="12240" w:h="15840"/>
      <w:pgMar w:top="1276" w:right="1134" w:bottom="1134" w:left="1134" w:header="851" w:footer="62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GAR CASTELLANOS ALVAREZ" w:date="2021-10-01T09:29:00Z" w:initials="ECA">
    <w:p w14:paraId="40B92D0F" w14:textId="77777777" w:rsidR="00027B23" w:rsidRDefault="00027B23" w:rsidP="00E64950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2" w:author="JULIO CESAR FABIAN CASTRO" w:date="2021-10-01T09:29:00Z" w:initials="JCFC">
    <w:p w14:paraId="1B026E8B" w14:textId="77777777" w:rsidR="00027B23" w:rsidRDefault="00027B23" w:rsidP="00E64950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7579905" w14:textId="77777777" w:rsidR="00027B23" w:rsidRDefault="00027B23" w:rsidP="00E64950">
      <w:pPr>
        <w:pStyle w:val="Textocomentario"/>
      </w:pPr>
      <w:r>
        <w:t>II. Los municipios del Estado de México.</w:t>
      </w:r>
    </w:p>
    <w:p w14:paraId="06963C72" w14:textId="77777777" w:rsidR="00027B23" w:rsidRDefault="00027B23" w:rsidP="00E64950">
      <w:pPr>
        <w:pStyle w:val="Textocomentario"/>
      </w:pPr>
      <w:r>
        <w:t>IV. Los Organismos Auxiliares</w:t>
      </w:r>
    </w:p>
    <w:p w14:paraId="4C999CE8" w14:textId="77777777" w:rsidR="00027B23" w:rsidRDefault="00027B23" w:rsidP="00E64950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3C2552AA" w14:textId="77777777" w:rsidR="00027B23" w:rsidRDefault="00027B23" w:rsidP="00E64950">
      <w:pPr>
        <w:pStyle w:val="Textocomentario"/>
      </w:pPr>
    </w:p>
    <w:p w14:paraId="7EE10A30" w14:textId="77777777" w:rsidR="00027B23" w:rsidRDefault="00027B23" w:rsidP="00E64950">
      <w:pPr>
        <w:pStyle w:val="Textocomentario"/>
      </w:pPr>
      <w:r>
        <w:t>Insertar la fracción correspondiente al ámbito estatal</w:t>
      </w:r>
    </w:p>
    <w:p w14:paraId="1A50C9C0" w14:textId="77777777" w:rsidR="00027B23" w:rsidRDefault="00027B23" w:rsidP="00E64950">
      <w:pPr>
        <w:pStyle w:val="Textocomentario"/>
      </w:pPr>
      <w:r>
        <w:t>I. Los Poderes Públicos del Estado.</w:t>
      </w:r>
    </w:p>
    <w:p w14:paraId="28589D66" w14:textId="77777777" w:rsidR="00027B23" w:rsidRPr="00841025" w:rsidRDefault="00027B23" w:rsidP="00E64950">
      <w:pPr>
        <w:pStyle w:val="Textocomentario"/>
      </w:pPr>
      <w:r w:rsidRPr="00841025">
        <w:t>III. Los organismos autónomos.</w:t>
      </w:r>
    </w:p>
    <w:p w14:paraId="6A9B12F1" w14:textId="77777777" w:rsidR="00027B23" w:rsidRPr="00841025" w:rsidRDefault="00027B23" w:rsidP="00E64950">
      <w:pPr>
        <w:pStyle w:val="Textocomentario"/>
      </w:pPr>
      <w:r w:rsidRPr="00841025">
        <w:t>IV. Los Organismos Auxiliares.</w:t>
      </w:r>
    </w:p>
    <w:p w14:paraId="5A328CED" w14:textId="77777777" w:rsidR="00027B23" w:rsidRDefault="00027B23" w:rsidP="00E64950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0555715" w14:textId="77777777" w:rsidR="00027B23" w:rsidRDefault="00027B23" w:rsidP="00E64950">
      <w:pPr>
        <w:pStyle w:val="Textocomentario"/>
      </w:pPr>
    </w:p>
  </w:comment>
  <w:comment w:id="6" w:author="MELISSA FERNANDA DUARTE MANZANO" w:date="2021-09-08T13:46:00Z" w:initials="">
    <w:p w14:paraId="39221F82" w14:textId="77777777" w:rsidR="00330FAF" w:rsidRDefault="00330FAF" w:rsidP="00330F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" w:author="MELISSA FERNANDA DUARTE MANZANO" w:date="2021-09-08T13:46:00Z" w:initials="">
    <w:p w14:paraId="6D1F8422" w14:textId="77777777" w:rsidR="00330FAF" w:rsidRDefault="00330FAF" w:rsidP="00330F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8" w:author="MELISSA FERNANDA DUARTE MANZANO [2]" w:date="2024-09-12T16:24:00Z" w:initials="MFDM">
    <w:p w14:paraId="6D1CF83F" w14:textId="77777777" w:rsidR="00330FAF" w:rsidRDefault="00330FAF" w:rsidP="00330FAF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9" w:author="MELISSA FERNANDA DUARTE MANZANO [2]" w:date="2024-09-18T11:50:00Z" w:initials="MFDM">
    <w:p w14:paraId="0B6C784F" w14:textId="77777777" w:rsidR="00330FAF" w:rsidRDefault="00330FAF" w:rsidP="00330FAF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1" w:author="MELISSA FERNANDA DUARTE MANZANO [2]" w:date="2024-09-18T11:53:00Z" w:initials="MFDM">
    <w:p w14:paraId="5B502612" w14:textId="77777777" w:rsidR="00330FAF" w:rsidRDefault="00330FAF" w:rsidP="00330FAF">
      <w:pPr>
        <w:pStyle w:val="Textocomentario"/>
      </w:pPr>
      <w:r>
        <w:rPr>
          <w:rStyle w:val="Refdecomentario"/>
        </w:rPr>
        <w:annotationRef/>
      </w:r>
      <w:r>
        <w:t>SEÑALAR NÚMERO DE OFICIO POR EL CUAL SE NOFITIFCÓ EL INFORME DE SEGUIMIENTO</w:t>
      </w:r>
    </w:p>
  </w:comment>
  <w:comment w:id="12" w:author="MELISSA FERNANDA DUARTE MANZANO [2]" w:date="2024-09-18T11:54:00Z" w:initials="MFDM">
    <w:p w14:paraId="2CD1634C" w14:textId="77777777" w:rsidR="00330FAF" w:rsidRDefault="00330FAF" w:rsidP="00330FAF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</w:t>
      </w:r>
    </w:p>
  </w:comment>
  <w:comment w:id="13" w:author="MELISSA FERNANDA DUARTE MANZANO [2]" w:date="2024-09-18T11:31:00Z" w:initials="MFDM">
    <w:p w14:paraId="77DB1D84" w14:textId="77777777" w:rsidR="00330FAF" w:rsidRDefault="00330FAF" w:rsidP="00330FAF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2C085906" w14:textId="77777777" w:rsidR="00330FAF" w:rsidRDefault="00330FAF" w:rsidP="00330FAF">
      <w:pPr>
        <w:pStyle w:val="Textocomentario"/>
      </w:pPr>
      <w:r>
        <w:t>EJEMPLO: 2 (Dos)</w:t>
      </w:r>
    </w:p>
  </w:comment>
  <w:comment w:id="10" w:author="MELISSA FERNANDA DUARTE MANZANO [2]" w:date="2024-09-18T11:54:00Z" w:initials="MFDM">
    <w:p w14:paraId="574C0F9F" w14:textId="77777777" w:rsidR="00330FAF" w:rsidRDefault="00330FAF" w:rsidP="00330FAF">
      <w:pPr>
        <w:pStyle w:val="Textocomentario"/>
      </w:pPr>
      <w:r>
        <w:rPr>
          <w:rStyle w:val="Refdecomentario"/>
        </w:rPr>
        <w:annotationRef/>
      </w:r>
      <w:r>
        <w:t>ADECUAR ESTE APARTADO SI ES QUE HUBIERA UNA SEGUNDA ETAPA Y SE HUBIERAN NOTIFICADO DOS INFORMES DE SEGUIMIENTO; SI NO ES EL CASO, OMITIR ESTE COMENTARIO</w:t>
      </w:r>
    </w:p>
  </w:comment>
  <w:comment w:id="15" w:author="MELISSA FERNANDA DUARTE MANZANO [2]" w:date="2024-09-18T11:31:00Z" w:initials="MFDM">
    <w:p w14:paraId="1C003BCD" w14:textId="77777777" w:rsidR="00330FAF" w:rsidRDefault="00330FAF" w:rsidP="00330FAF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02F6AC" w14:textId="77777777" w:rsidR="00330FAF" w:rsidRDefault="00330FAF" w:rsidP="00330FAF">
      <w:pPr>
        <w:pStyle w:val="Textocomentario"/>
      </w:pPr>
      <w:r>
        <w:t>EJEMPLO: 2 (Dos)</w:t>
      </w:r>
    </w:p>
  </w:comment>
  <w:comment w:id="16" w:author="MELISSA FERNANDA DUARTE MANZANO [2]" w:date="2024-09-18T11:31:00Z" w:initials="MFDM">
    <w:p w14:paraId="1CBDFE1A" w14:textId="77777777" w:rsidR="00330FAF" w:rsidRDefault="00330FAF" w:rsidP="00330FAF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3FC9E836" w14:textId="77777777" w:rsidR="00330FAF" w:rsidRDefault="00330FAF" w:rsidP="00330FAF">
      <w:pPr>
        <w:pStyle w:val="Textocomentario"/>
      </w:pPr>
      <w:r>
        <w:t>EJEMPLO: 2 (Dos)</w:t>
      </w:r>
    </w:p>
  </w:comment>
  <w:comment w:id="17" w:author="MELISSA FERNANDA DUARTE MANZANO [2]" w:date="2024-09-18T11:31:00Z" w:initials="MFDM">
    <w:p w14:paraId="3FDE455F" w14:textId="77777777" w:rsidR="00330FAF" w:rsidRDefault="00330FAF" w:rsidP="00330FAF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4D181A9D" w14:textId="77777777" w:rsidR="00330FAF" w:rsidRDefault="00330FAF" w:rsidP="00330FAF">
      <w:pPr>
        <w:pStyle w:val="Textocomentario"/>
      </w:pPr>
      <w:r>
        <w:t>EJEMPLO: 2 (Dos)</w:t>
      </w:r>
    </w:p>
  </w:comment>
  <w:comment w:id="18" w:author="MELISSA FERNANDA DUARTE MANZANO [2]" w:date="2024-09-18T11:31:00Z" w:initials="MFDM">
    <w:p w14:paraId="30C1CF5B" w14:textId="77777777" w:rsidR="00330FAF" w:rsidRDefault="00330FAF" w:rsidP="00330FAF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163C9321" w14:textId="77777777" w:rsidR="00330FAF" w:rsidRDefault="00330FAF" w:rsidP="00330FAF">
      <w:pPr>
        <w:pStyle w:val="Textocomentario"/>
      </w:pPr>
      <w:r>
        <w:t>EJEMPLO: 2 (Dos)</w:t>
      </w:r>
    </w:p>
  </w:comment>
  <w:comment w:id="20" w:author="SINAI ALEJANDRA BUSTAMANTE SANCHEZ" w:date="2021-10-01T09:29:00Z" w:initials="SABS">
    <w:p w14:paraId="54FB3080" w14:textId="77777777" w:rsidR="00027B23" w:rsidRDefault="00027B23" w:rsidP="008C5A16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43807198" w14:textId="77777777" w:rsidR="00027B23" w:rsidRDefault="00027B23" w:rsidP="008C5A16">
      <w:pPr>
        <w:pStyle w:val="Textocomentario"/>
      </w:pPr>
      <w:r>
        <w:t>-Titular</w:t>
      </w:r>
    </w:p>
    <w:p w14:paraId="3192BEEB" w14:textId="77777777" w:rsidR="00027B23" w:rsidRDefault="00027B23" w:rsidP="008C5A16">
      <w:pPr>
        <w:pStyle w:val="Textocomentario"/>
      </w:pPr>
      <w:r>
        <w:t>-Lic. Martha</w:t>
      </w:r>
    </w:p>
    <w:p w14:paraId="65B30A05" w14:textId="77777777" w:rsidR="00027B23" w:rsidRDefault="00027B23" w:rsidP="008C5A16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20945B0D" w14:textId="77777777" w:rsidR="00027B23" w:rsidRDefault="00027B23" w:rsidP="008C5A16">
      <w:pPr>
        <w:pStyle w:val="Textocomentario"/>
      </w:pPr>
      <w:r>
        <w:t xml:space="preserve">- Abogado </w:t>
      </w:r>
    </w:p>
    <w:p w14:paraId="7675D783" w14:textId="77777777" w:rsidR="00027B23" w:rsidRDefault="00027B23" w:rsidP="008C5A16">
      <w:pPr>
        <w:pStyle w:val="Textocomentario"/>
      </w:pPr>
      <w:r>
        <w:t>-Jefe de Departamento</w:t>
      </w:r>
    </w:p>
    <w:p w14:paraId="390CEAD7" w14:textId="6255267B" w:rsidR="00027B23" w:rsidRDefault="00027B23" w:rsidP="008C5A16">
      <w:pPr>
        <w:pStyle w:val="Textocomentario"/>
      </w:pPr>
      <w:r>
        <w:t>- 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B92D0F" w15:done="0"/>
  <w15:commentEx w15:paraId="60555715" w15:done="0"/>
  <w15:commentEx w15:paraId="39221F82" w15:done="0"/>
  <w15:commentEx w15:paraId="6D1F8422" w15:done="0"/>
  <w15:commentEx w15:paraId="6D1CF83F" w15:done="0"/>
  <w15:commentEx w15:paraId="0B6C784F" w15:done="0"/>
  <w15:commentEx w15:paraId="5B502612" w15:done="0"/>
  <w15:commentEx w15:paraId="2CD1634C" w15:done="0"/>
  <w15:commentEx w15:paraId="2C085906" w15:done="0"/>
  <w15:commentEx w15:paraId="574C0F9F" w15:done="0"/>
  <w15:commentEx w15:paraId="5002F6AC" w15:done="0"/>
  <w15:commentEx w15:paraId="3FC9E836" w15:done="0"/>
  <w15:commentEx w15:paraId="4D181A9D" w15:done="0"/>
  <w15:commentEx w15:paraId="163C9321" w15:done="0"/>
  <w15:commentEx w15:paraId="390CEA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B92D0F" w16cid:durableId="252171B5"/>
  <w16cid:commentId w16cid:paraId="60555715" w16cid:durableId="252171B6"/>
  <w16cid:commentId w16cid:paraId="39221F82" w16cid:durableId="25464AC4"/>
  <w16cid:commentId w16cid:paraId="6D1F8422" w16cid:durableId="25464AC3"/>
  <w16cid:commentId w16cid:paraId="6D1CF83F" w16cid:durableId="2A8D945A"/>
  <w16cid:commentId w16cid:paraId="0B6C784F" w16cid:durableId="2A953D13"/>
  <w16cid:commentId w16cid:paraId="5B502612" w16cid:durableId="2A953DD5"/>
  <w16cid:commentId w16cid:paraId="2CD1634C" w16cid:durableId="2A953DEC"/>
  <w16cid:commentId w16cid:paraId="2C085906" w16cid:durableId="2A953E02"/>
  <w16cid:commentId w16cid:paraId="574C0F9F" w16cid:durableId="2A953E13"/>
  <w16cid:commentId w16cid:paraId="5002F6AC" w16cid:durableId="2A9538A2"/>
  <w16cid:commentId w16cid:paraId="3FC9E836" w16cid:durableId="2A953CB2"/>
  <w16cid:commentId w16cid:paraId="4D181A9D" w16cid:durableId="2A953CB7"/>
  <w16cid:commentId w16cid:paraId="163C9321" w16cid:durableId="2A953CBA"/>
  <w16cid:commentId w16cid:paraId="390CEAD7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0E1B" w14:textId="77777777" w:rsidR="00BF7CB9" w:rsidRDefault="00BF7CB9" w:rsidP="00C755C3">
      <w:pPr>
        <w:spacing w:after="0" w:line="240" w:lineRule="auto"/>
      </w:pPr>
      <w:r>
        <w:separator/>
      </w:r>
    </w:p>
  </w:endnote>
  <w:endnote w:type="continuationSeparator" w:id="0">
    <w:p w14:paraId="6E80EC5B" w14:textId="77777777" w:rsidR="00BF7CB9" w:rsidRDefault="00BF7CB9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127BDE97" w:rsidR="00027B23" w:rsidRPr="00D117D6" w:rsidRDefault="00027B23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64713BB0" w14:textId="5FEB5E4C" w:rsidR="009A0C29" w:rsidRPr="00D117D6" w:rsidRDefault="009A0C29" w:rsidP="009A0C2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2" w:name="_Hlk86140406"/>
    <w:bookmarkStart w:id="23" w:name="_Hlk86140499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22"/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17401B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AE2180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3"/>
  <w:p w14:paraId="36E96723" w14:textId="77777777" w:rsidR="00027B23" w:rsidRPr="00D117D6" w:rsidRDefault="00027B23" w:rsidP="004026E1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3266C7A" w14:textId="77777777" w:rsidR="00027B23" w:rsidRPr="00D117D6" w:rsidRDefault="00027B23" w:rsidP="004026E1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D117D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641C5817" w14:textId="2F3F6FE3" w:rsidR="00027B23" w:rsidRPr="00D117D6" w:rsidRDefault="00027B23" w:rsidP="004026E1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D117D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D6D16F" wp14:editId="3A8C30F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2D5695" w14:textId="5A3F019C" w:rsidR="00027B23" w:rsidRPr="00D117D6" w:rsidRDefault="00027B23" w:rsidP="004026E1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477"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30FA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30477"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6D16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4A2D5695" w14:textId="5A3F019C" w:rsidR="00027B23" w:rsidRPr="00D117D6" w:rsidRDefault="00027B23" w:rsidP="004026E1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477"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30FA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30477"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117D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D117D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2FB4307B" w:rsidR="00027B23" w:rsidRPr="00D117D6" w:rsidRDefault="00027B23" w:rsidP="004026E1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D117D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117D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EABCA" w14:textId="77777777" w:rsidR="00BF7CB9" w:rsidRDefault="00BF7CB9" w:rsidP="00C755C3">
      <w:pPr>
        <w:spacing w:after="0" w:line="240" w:lineRule="auto"/>
      </w:pPr>
      <w:r>
        <w:separator/>
      </w:r>
    </w:p>
  </w:footnote>
  <w:footnote w:type="continuationSeparator" w:id="0">
    <w:p w14:paraId="47B47ED5" w14:textId="77777777" w:rsidR="00BF7CB9" w:rsidRDefault="00BF7CB9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66"/>
      <w:gridCol w:w="1036"/>
    </w:tblGrid>
    <w:tr w:rsidR="00027B23" w:rsidRPr="00C755C3" w14:paraId="2BF889DB" w14:textId="77777777" w:rsidTr="00027B23">
      <w:tc>
        <w:tcPr>
          <w:tcW w:w="1276" w:type="dxa"/>
        </w:tcPr>
        <w:p w14:paraId="20E4E915" w14:textId="4FC1963E" w:rsidR="00027B23" w:rsidRPr="00C755C3" w:rsidRDefault="00330FAF" w:rsidP="002951F1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50AD9759" wp14:editId="2E940E78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7857DA7B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5D659E69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E7B1A8F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73B68F73" w14:textId="77777777" w:rsidR="00027B23" w:rsidRPr="009A5B19" w:rsidRDefault="00027B23" w:rsidP="002951F1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DAA3520" w14:textId="065B8193" w:rsidR="00027B23" w:rsidRPr="000F0D66" w:rsidRDefault="00595946" w:rsidP="002951F1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030477" w:rsidRPr="00D117D6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45C4DA53" w14:textId="77777777" w:rsidR="00027B23" w:rsidRPr="00C755C3" w:rsidRDefault="00027B23" w:rsidP="002951F1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A9B7304" wp14:editId="09F9C66D">
                <wp:simplePos x="0" y="0"/>
                <wp:positionH relativeFrom="page">
                  <wp:posOffset>-605155</wp:posOffset>
                </wp:positionH>
                <wp:positionV relativeFrom="paragraph">
                  <wp:posOffset>-13436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0B3AB80" w14:textId="08EEF1FD" w:rsidR="00027B23" w:rsidRPr="00D117D6" w:rsidRDefault="00C76D3C" w:rsidP="002951F1">
    <w:pPr>
      <w:spacing w:after="0" w:line="240" w:lineRule="auto"/>
      <w:jc w:val="right"/>
      <w:rPr>
        <w:rFonts w:ascii="HelveticaNeue LT 45 Light" w:hAnsi="HelveticaNeue LT 45 Light" w:cs="Arial"/>
        <w:sz w:val="4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09CDC78" wp14:editId="1D63FD34">
          <wp:simplePos x="0" y="0"/>
          <wp:positionH relativeFrom="column">
            <wp:posOffset>2741921</wp:posOffset>
          </wp:positionH>
          <wp:positionV relativeFrom="paragraph">
            <wp:posOffset>656950</wp:posOffset>
          </wp:positionV>
          <wp:extent cx="3859220" cy="7614800"/>
          <wp:effectExtent l="0" t="0" r="8255" b="571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0" w:type="auto"/>
      <w:tblInd w:w="35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7"/>
      <w:gridCol w:w="3016"/>
    </w:tblGrid>
    <w:tr w:rsidR="00027B23" w14:paraId="62684AB1" w14:textId="77777777" w:rsidTr="00027B23">
      <w:tc>
        <w:tcPr>
          <w:tcW w:w="6423" w:type="dxa"/>
          <w:gridSpan w:val="2"/>
        </w:tcPr>
        <w:p w14:paraId="0D0DB869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bookmarkStart w:id="21" w:name="_Hlk115254236"/>
          <w:r w:rsidRPr="00CD7C36">
            <w:rPr>
              <w:rFonts w:ascii="Arial" w:hAnsi="Arial" w:cs="Arial"/>
              <w:sz w:val="20"/>
              <w:szCs w:val="20"/>
            </w:rPr>
            <w:t>Toluca de Lerdo, Estado de México; mes día de 202X</w:t>
          </w:r>
        </w:p>
      </w:tc>
    </w:tr>
    <w:tr w:rsidR="00027B23" w14:paraId="3D70B205" w14:textId="77777777" w:rsidTr="0096624B">
      <w:tc>
        <w:tcPr>
          <w:tcW w:w="3407" w:type="dxa"/>
        </w:tcPr>
        <w:p w14:paraId="56064B21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>
            <w:rPr>
              <w:rFonts w:ascii="Arial" w:hAnsi="Arial" w:cs="Arial"/>
              <w:b/>
              <w:sz w:val="20"/>
            </w:rPr>
            <w:t xml:space="preserve">Orden de Auditoría: </w:t>
          </w:r>
        </w:p>
      </w:tc>
      <w:tc>
        <w:tcPr>
          <w:tcW w:w="3016" w:type="dxa"/>
          <w:vAlign w:val="center"/>
        </w:tcPr>
        <w:p w14:paraId="4A7D213B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tr w:rsidR="00027B23" w14:paraId="2220FD1C" w14:textId="77777777" w:rsidTr="0096624B">
      <w:tc>
        <w:tcPr>
          <w:tcW w:w="3407" w:type="dxa"/>
        </w:tcPr>
        <w:p w14:paraId="276A3EA3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007508">
            <w:rPr>
              <w:rFonts w:ascii="Arial" w:hAnsi="Arial" w:cs="Arial"/>
              <w:b/>
              <w:sz w:val="20"/>
            </w:rPr>
            <w:t>Número de Auditoría:</w:t>
          </w:r>
          <w:r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3016" w:type="dxa"/>
          <w:vAlign w:val="center"/>
        </w:tcPr>
        <w:p w14:paraId="31F1BE5E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>
            <w:rPr>
              <w:rFonts w:ascii="Arial" w:hAnsi="Arial" w:cs="Arial"/>
              <w:sz w:val="20"/>
            </w:rPr>
            <w:t>XXXX/XXXX/XXX</w:t>
          </w:r>
        </w:p>
      </w:tc>
    </w:tr>
    <w:tr w:rsidR="00027B23" w14:paraId="15D874CF" w14:textId="77777777" w:rsidTr="0096624B">
      <w:tc>
        <w:tcPr>
          <w:tcW w:w="3407" w:type="dxa"/>
        </w:tcPr>
        <w:p w14:paraId="669AD04B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016" w:type="dxa"/>
          <w:vAlign w:val="center"/>
        </w:tcPr>
        <w:p w14:paraId="5C35C521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027B23" w14:paraId="5E0CECA0" w14:textId="77777777" w:rsidTr="0096624B">
      <w:tc>
        <w:tcPr>
          <w:tcW w:w="3407" w:type="dxa"/>
        </w:tcPr>
        <w:p w14:paraId="2C05D94E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  <w:r w:rsidRPr="00196534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3016" w:type="dxa"/>
          <w:vAlign w:val="center"/>
        </w:tcPr>
        <w:p w14:paraId="776E5056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 w:rsidRPr="00196534">
            <w:rPr>
              <w:rFonts w:ascii="Arial" w:hAnsi="Arial" w:cs="Arial"/>
              <w:sz w:val="20"/>
            </w:rPr>
            <w:t>OSFEM/US/XXX/202X</w:t>
          </w:r>
        </w:p>
      </w:tc>
    </w:tr>
    <w:tr w:rsidR="00027B23" w14:paraId="1D748A61" w14:textId="77777777" w:rsidTr="0096624B">
      <w:tc>
        <w:tcPr>
          <w:tcW w:w="3407" w:type="dxa"/>
        </w:tcPr>
        <w:p w14:paraId="30DE99DB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 xml:space="preserve">Asunto: </w:t>
          </w:r>
        </w:p>
      </w:tc>
      <w:tc>
        <w:tcPr>
          <w:tcW w:w="3016" w:type="dxa"/>
          <w:vAlign w:val="center"/>
        </w:tcPr>
        <w:p w14:paraId="66C13754" w14:textId="58880EEA" w:rsidR="00027B23" w:rsidRPr="00027B23" w:rsidRDefault="00330FAF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  <w:sz w:val="19"/>
              <w:szCs w:val="19"/>
            </w:rPr>
          </w:pPr>
          <w:r w:rsidRPr="00AB45C1">
            <w:rPr>
              <w:rFonts w:ascii="Arial" w:hAnsi="Arial" w:cs="Arial"/>
              <w:sz w:val="20"/>
              <w:szCs w:val="19"/>
            </w:rPr>
            <w:t>Se remite</w:t>
          </w:r>
          <w:r>
            <w:rPr>
              <w:rFonts w:ascii="Arial" w:hAnsi="Arial" w:cs="Arial"/>
              <w:sz w:val="20"/>
              <w:szCs w:val="19"/>
            </w:rPr>
            <w:t>(</w:t>
          </w:r>
          <w:r w:rsidRPr="00AB45C1">
            <w:rPr>
              <w:rFonts w:ascii="Arial" w:hAnsi="Arial" w:cs="Arial"/>
              <w:sz w:val="20"/>
              <w:szCs w:val="19"/>
            </w:rPr>
            <w:t>n</w:t>
          </w:r>
          <w:r>
            <w:rPr>
              <w:rFonts w:ascii="Arial" w:hAnsi="Arial" w:cs="Arial"/>
              <w:sz w:val="20"/>
              <w:szCs w:val="19"/>
            </w:rPr>
            <w:t>)</w:t>
          </w:r>
          <w:r w:rsidRPr="00AB45C1">
            <w:rPr>
              <w:rFonts w:ascii="Arial" w:hAnsi="Arial" w:cs="Arial"/>
              <w:sz w:val="20"/>
              <w:szCs w:val="19"/>
            </w:rPr>
            <w:t xml:space="preserve"> Pliego(s) de Observaciones</w:t>
          </w:r>
          <w:r w:rsidR="00027B23" w:rsidRPr="00027B23">
            <w:rPr>
              <w:rFonts w:ascii="Arial" w:hAnsi="Arial" w:cs="Arial"/>
              <w:sz w:val="18"/>
              <w:szCs w:val="19"/>
            </w:rPr>
            <w:t>.</w:t>
          </w:r>
        </w:p>
      </w:tc>
    </w:tr>
  </w:tbl>
  <w:bookmarkEnd w:id="21"/>
  <w:p w14:paraId="78DCF313" w14:textId="480F2AEF" w:rsidR="00027B23" w:rsidRPr="006B3CDE" w:rsidRDefault="00027B23" w:rsidP="002951F1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t xml:space="preserve"> </w:t>
    </w:r>
  </w:p>
  <w:p w14:paraId="52115D5D" w14:textId="6202F8BA" w:rsidR="00027B23" w:rsidRPr="008A28AD" w:rsidRDefault="00027B23" w:rsidP="009D6433">
    <w:pPr>
      <w:spacing w:after="0" w:line="240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0CF"/>
    <w:multiLevelType w:val="hybridMultilevel"/>
    <w:tmpl w:val="0D46B8C0"/>
    <w:lvl w:ilvl="0" w:tplc="313AE7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381C"/>
    <w:rsid w:val="00027B23"/>
    <w:rsid w:val="00030477"/>
    <w:rsid w:val="000A3059"/>
    <w:rsid w:val="000D5789"/>
    <w:rsid w:val="000F0D66"/>
    <w:rsid w:val="00144E8C"/>
    <w:rsid w:val="0017401B"/>
    <w:rsid w:val="00190486"/>
    <w:rsid w:val="001C1936"/>
    <w:rsid w:val="001C2D62"/>
    <w:rsid w:val="001C6CFF"/>
    <w:rsid w:val="001D305D"/>
    <w:rsid w:val="001F1E8C"/>
    <w:rsid w:val="002172B0"/>
    <w:rsid w:val="00240C1D"/>
    <w:rsid w:val="00250ED1"/>
    <w:rsid w:val="00274806"/>
    <w:rsid w:val="00285D9E"/>
    <w:rsid w:val="00291B07"/>
    <w:rsid w:val="002951F1"/>
    <w:rsid w:val="002B6F6B"/>
    <w:rsid w:val="002C450B"/>
    <w:rsid w:val="002D47E7"/>
    <w:rsid w:val="002E003B"/>
    <w:rsid w:val="002E2870"/>
    <w:rsid w:val="00303F34"/>
    <w:rsid w:val="00314E4D"/>
    <w:rsid w:val="00330FAF"/>
    <w:rsid w:val="00351491"/>
    <w:rsid w:val="00371805"/>
    <w:rsid w:val="003B4C1B"/>
    <w:rsid w:val="003B6B97"/>
    <w:rsid w:val="003E0255"/>
    <w:rsid w:val="003E0617"/>
    <w:rsid w:val="003F0070"/>
    <w:rsid w:val="0040083A"/>
    <w:rsid w:val="004026E1"/>
    <w:rsid w:val="00427A6F"/>
    <w:rsid w:val="00433AA9"/>
    <w:rsid w:val="004369ED"/>
    <w:rsid w:val="004635D2"/>
    <w:rsid w:val="00495FB8"/>
    <w:rsid w:val="004979AC"/>
    <w:rsid w:val="004B5BB3"/>
    <w:rsid w:val="004B7F5F"/>
    <w:rsid w:val="004D24E2"/>
    <w:rsid w:val="004D3371"/>
    <w:rsid w:val="004D37A2"/>
    <w:rsid w:val="004E5151"/>
    <w:rsid w:val="00500251"/>
    <w:rsid w:val="005154D6"/>
    <w:rsid w:val="005250F5"/>
    <w:rsid w:val="0053087E"/>
    <w:rsid w:val="0054695B"/>
    <w:rsid w:val="0056555E"/>
    <w:rsid w:val="00574AE0"/>
    <w:rsid w:val="0058007C"/>
    <w:rsid w:val="00595946"/>
    <w:rsid w:val="005F0B6B"/>
    <w:rsid w:val="005F2E8E"/>
    <w:rsid w:val="00605857"/>
    <w:rsid w:val="00626824"/>
    <w:rsid w:val="00646AB4"/>
    <w:rsid w:val="00665F38"/>
    <w:rsid w:val="006758A9"/>
    <w:rsid w:val="006A019F"/>
    <w:rsid w:val="006A47B8"/>
    <w:rsid w:val="006B3CDE"/>
    <w:rsid w:val="006E5DCD"/>
    <w:rsid w:val="006E7F61"/>
    <w:rsid w:val="00710AE5"/>
    <w:rsid w:val="00711590"/>
    <w:rsid w:val="007212EE"/>
    <w:rsid w:val="00752AE5"/>
    <w:rsid w:val="0077073B"/>
    <w:rsid w:val="007A2404"/>
    <w:rsid w:val="007C4AFA"/>
    <w:rsid w:val="00852C8F"/>
    <w:rsid w:val="00875D07"/>
    <w:rsid w:val="00881CDA"/>
    <w:rsid w:val="00884B9A"/>
    <w:rsid w:val="008912BD"/>
    <w:rsid w:val="008A28AD"/>
    <w:rsid w:val="008C5A16"/>
    <w:rsid w:val="008E594F"/>
    <w:rsid w:val="008F56A6"/>
    <w:rsid w:val="00914955"/>
    <w:rsid w:val="009413D3"/>
    <w:rsid w:val="0096624B"/>
    <w:rsid w:val="00966EEA"/>
    <w:rsid w:val="009900CE"/>
    <w:rsid w:val="009A0C29"/>
    <w:rsid w:val="009A5B19"/>
    <w:rsid w:val="009B5227"/>
    <w:rsid w:val="009D521F"/>
    <w:rsid w:val="009D6433"/>
    <w:rsid w:val="009E4A1C"/>
    <w:rsid w:val="009F046D"/>
    <w:rsid w:val="009F33E8"/>
    <w:rsid w:val="00A162F6"/>
    <w:rsid w:val="00A2557A"/>
    <w:rsid w:val="00A25E31"/>
    <w:rsid w:val="00A370BD"/>
    <w:rsid w:val="00A547F9"/>
    <w:rsid w:val="00A57313"/>
    <w:rsid w:val="00A6479D"/>
    <w:rsid w:val="00A92B21"/>
    <w:rsid w:val="00AA3484"/>
    <w:rsid w:val="00AA63EF"/>
    <w:rsid w:val="00AB7697"/>
    <w:rsid w:val="00AC3DF5"/>
    <w:rsid w:val="00AD646D"/>
    <w:rsid w:val="00AE2180"/>
    <w:rsid w:val="00B2383C"/>
    <w:rsid w:val="00B626EC"/>
    <w:rsid w:val="00B94B0C"/>
    <w:rsid w:val="00BA6B90"/>
    <w:rsid w:val="00BB212E"/>
    <w:rsid w:val="00BE36E8"/>
    <w:rsid w:val="00BF7CB9"/>
    <w:rsid w:val="00C27730"/>
    <w:rsid w:val="00C34DC0"/>
    <w:rsid w:val="00C3665B"/>
    <w:rsid w:val="00C464F2"/>
    <w:rsid w:val="00C755C3"/>
    <w:rsid w:val="00C76D3C"/>
    <w:rsid w:val="00CD7C36"/>
    <w:rsid w:val="00D117D6"/>
    <w:rsid w:val="00D31264"/>
    <w:rsid w:val="00D36EA5"/>
    <w:rsid w:val="00D70B48"/>
    <w:rsid w:val="00D90007"/>
    <w:rsid w:val="00DA0FFA"/>
    <w:rsid w:val="00DC0996"/>
    <w:rsid w:val="00E21010"/>
    <w:rsid w:val="00E246EB"/>
    <w:rsid w:val="00E64950"/>
    <w:rsid w:val="00E84917"/>
    <w:rsid w:val="00E86E5B"/>
    <w:rsid w:val="00EC47DF"/>
    <w:rsid w:val="00ED2899"/>
    <w:rsid w:val="00F25657"/>
    <w:rsid w:val="00F27192"/>
    <w:rsid w:val="00F34352"/>
    <w:rsid w:val="00F55EDB"/>
    <w:rsid w:val="00FC0EBD"/>
    <w:rsid w:val="00FC10FE"/>
    <w:rsid w:val="00FC21C2"/>
    <w:rsid w:val="00FC5C55"/>
    <w:rsid w:val="00FC691F"/>
    <w:rsid w:val="00F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048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048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F3435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1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44</cp:revision>
  <cp:lastPrinted>2022-06-02T16:43:00Z</cp:lastPrinted>
  <dcterms:created xsi:type="dcterms:W3CDTF">2022-06-13T15:31:00Z</dcterms:created>
  <dcterms:modified xsi:type="dcterms:W3CDTF">2024-09-18T22:30:00Z</dcterms:modified>
</cp:coreProperties>
</file>