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Bumba-Code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Diogo Pelaes Burgierman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Freddy Mester Harari</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Gabriel Pelinsari Ribeiro</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Joselito </w:t>
      </w:r>
      <w:r w:rsidDel="00000000" w:rsidR="00000000" w:rsidRPr="00000000">
        <w:rPr>
          <w:rFonts w:ascii="Manrope Medium" w:cs="Manrope Medium" w:eastAsia="Manrope Medium" w:hAnsi="Manrope Medium"/>
          <w:sz w:val="20"/>
          <w:szCs w:val="20"/>
          <w:rtl w:val="0"/>
        </w:rPr>
        <w:t xml:space="preserve">Júnior</w:t>
      </w:r>
      <w:r w:rsidDel="00000000" w:rsidR="00000000" w:rsidRPr="00000000">
        <w:rPr>
          <w:rFonts w:ascii="Manrope Medium" w:cs="Manrope Medium" w:eastAsia="Manrope Medium" w:hAnsi="Manrope Medium"/>
          <w:sz w:val="20"/>
          <w:szCs w:val="20"/>
          <w:rtl w:val="0"/>
        </w:rPr>
        <w:t xml:space="preserve"> Motta de Carvalho</w:t>
      </w:r>
    </w:p>
    <w:p w:rsidR="00000000" w:rsidDel="00000000" w:rsidP="00000000" w:rsidRDefault="00000000" w:rsidRPr="00000000" w14:paraId="00000013">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Kaiane Souza Cordeiro</w:t>
      </w:r>
    </w:p>
    <w:p w:rsidR="00000000" w:rsidDel="00000000" w:rsidP="00000000" w:rsidRDefault="00000000" w:rsidRPr="00000000" w14:paraId="00000014">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Patrick Brett Savoia</w:t>
      </w:r>
    </w:p>
    <w:p w:rsidR="00000000" w:rsidDel="00000000" w:rsidP="00000000" w:rsidRDefault="00000000" w:rsidRPr="00000000" w14:paraId="00000015">
      <w:pPr>
        <w:tabs>
          <w:tab w:val="left" w:leader="none" w:pos="3870"/>
        </w:tabs>
        <w:spacing w:after="120" w:before="120" w:line="360" w:lineRule="auto"/>
        <w:ind w:left="144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Vitoria</w:t>
      </w:r>
      <w:r w:rsidDel="00000000" w:rsidR="00000000" w:rsidRPr="00000000">
        <w:rPr>
          <w:rFonts w:ascii="Manrope Medium" w:cs="Manrope Medium" w:eastAsia="Manrope Medium" w:hAnsi="Manrope Medium"/>
          <w:sz w:val="20"/>
          <w:szCs w:val="20"/>
          <w:rtl w:val="0"/>
        </w:rPr>
        <w:t xml:space="preserve"> Novaes Xavier</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02 de Fevereiro de 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1.0.0</w:t>
      </w:r>
      <w:r w:rsidDel="00000000" w:rsidR="00000000" w:rsidRPr="00000000">
        <w:rPr>
          <w:rtl w:val="0"/>
        </w:rPr>
      </w:r>
    </w:p>
    <w:p w:rsidR="00000000" w:rsidDel="00000000" w:rsidP="00000000" w:rsidRDefault="00000000" w:rsidRPr="00000000" w14:paraId="00000018">
      <w:pPr>
        <w:pStyle w:val="Title"/>
        <w:numPr>
          <w:ilvl w:val="0"/>
          <w:numId w:val="7"/>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9">
      <w:pPr>
        <w:keepNext w:val="1"/>
        <w:keepLines w:val="1"/>
        <w:numPr>
          <w:ilvl w:val="0"/>
          <w:numId w:val="7"/>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09</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w:t>
            </w:r>
            <w:r w:rsidDel="00000000" w:rsidR="00000000" w:rsidRPr="00000000">
              <w:rPr>
                <w:rFonts w:ascii="Manrope Medium" w:cs="Manrope Medium" w:eastAsia="Manrope Medium" w:hAnsi="Manrope Medium"/>
                <w:color w:val="4472c4"/>
                <w:sz w:val="18"/>
                <w:szCs w:val="18"/>
                <w:rtl w:val="0"/>
              </w:rPr>
              <w:t xml:space="preserve">02</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w:t>
            </w:r>
            <w:r w:rsidDel="00000000" w:rsidR="00000000" w:rsidRPr="00000000">
              <w:rPr>
                <w:rFonts w:ascii="Manrope Medium" w:cs="Manrope Medium" w:eastAsia="Manrope Medium" w:hAnsi="Manrope Medium"/>
                <w:color w:val="4472c4"/>
                <w:sz w:val="18"/>
                <w:szCs w:val="18"/>
                <w:rtl w:val="0"/>
              </w:rPr>
              <w:t xml:space="preserve">2023</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Freddy Harari</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1.0.0</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Escrita da mecânica do jogo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Vitoria Novaes Xavier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6">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BUMBA CODE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B">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Mobile/WebHTML</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3">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6">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w:t>
            </w:r>
          </w:p>
        </w:tc>
      </w:tr>
      <w:tr>
        <w:trPr>
          <w:cantSplit w:val="0"/>
          <w:trHeight w:val="180" w:hRule="atLeast"/>
          <w:tblHeader w:val="0"/>
        </w:trPr>
        <w:tc>
          <w:tcPr>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B">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E">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7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B">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E">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   Visão</w:t>
            </w:r>
          </w:p>
        </w:tc>
        <w:tc>
          <w:tcPr>
            <w:gridSpan w:val="2"/>
            <w:tcBorders>
              <w:top w:color="000000" w:space="0" w:sz="6" w:val="single"/>
            </w:tcBorders>
            <w:vAlign w:val="top"/>
          </w:tcPr>
          <w:p w:rsidR="00000000" w:rsidDel="00000000" w:rsidP="00000000" w:rsidRDefault="00000000" w:rsidRPr="00000000" w14:paraId="0000008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E">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9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1">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                Pagamento</w:t>
            </w:r>
          </w:p>
        </w:tc>
        <w:tc>
          <w:tcPr>
            <w:gridSpan w:val="2"/>
            <w:tcBorders>
              <w:top w:color="000000" w:space="0" w:sz="6" w:val="single"/>
            </w:tcBorders>
            <w:vAlign w:val="top"/>
          </w:tcPr>
          <w:p w:rsidR="00000000" w:rsidDel="00000000" w:rsidP="00000000" w:rsidRDefault="00000000" w:rsidRPr="00000000" w14:paraId="000000A2">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7">
      <w:pPr>
        <w:keepLines w:val="1"/>
        <w:spacing w:line="360" w:lineRule="auto"/>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A8">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A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B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Elaborar uma síntese geral do jogo. Contextualização geral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B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Descrever</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color w:val="4472c4"/>
          <w:sz w:val="20"/>
          <w:szCs w:val="20"/>
          <w:rtl w:val="0"/>
        </w:rPr>
        <w:t xml:space="preserve">a persona à qual</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se destina o jogo.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Apresentar para cada uma o nome, idade, ocupação, interesses, localização, etc. </w:t>
      </w:r>
      <w:r w:rsidDel="00000000" w:rsidR="00000000" w:rsidRPr="00000000">
        <w:rPr>
          <w:rFonts w:ascii="Manrope Medium" w:cs="Manrope Medium" w:eastAsia="Manrope Medium" w:hAnsi="Manrope Medium"/>
          <w:color w:val="4472c4"/>
          <w:sz w:val="20"/>
          <w:szCs w:val="20"/>
          <w:rtl w:val="0"/>
        </w:rPr>
        <w:t xml:space="preserve">R</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elacionar com o </w:t>
      </w:r>
      <w:r w:rsidDel="00000000" w:rsidR="00000000" w:rsidRPr="00000000">
        <w:rPr>
          <w:rFonts w:ascii="Manrope Medium" w:cs="Manrope Medium" w:eastAsia="Manrope Medium" w:hAnsi="Manrope Medium"/>
          <w:color w:val="4472c4"/>
          <w:sz w:val="20"/>
          <w:szCs w:val="20"/>
          <w:rtl w:val="0"/>
        </w:rPr>
        <w:t xml:space="preserve">que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foi visto nos encontros e conteúdos de autoestudo sobre definição de personas</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personas as quais o jogo se destina são: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Maria Fernanda Amorim, 8 anos, estudante de Escola Pública de Maceió, gosta de matemática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E">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Detalhar o gênero do jogo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justificando a escolha de acordo com as </w:t>
      </w:r>
      <w:r w:rsidDel="00000000" w:rsidR="00000000" w:rsidRPr="00000000">
        <w:rPr>
          <w:rFonts w:ascii="Manrope Medium" w:cs="Manrope Medium" w:eastAsia="Manrope Medium" w:hAnsi="Manrope Medium"/>
          <w:color w:val="4472c4"/>
          <w:sz w:val="20"/>
          <w:szCs w:val="20"/>
          <w:rtl w:val="0"/>
        </w:rPr>
        <w:t xml:space="preserve">necessidades do projeto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C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pPr>
      <w:r w:rsidDel="00000000" w:rsidR="00000000" w:rsidRPr="00000000">
        <w:rPr>
          <w:highlight w:val="white"/>
          <w:rtl w:val="0"/>
        </w:rPr>
        <w:t xml:space="preserve">A</w:t>
      </w:r>
      <w:r w:rsidDel="00000000" w:rsidR="00000000" w:rsidRPr="00000000">
        <w:rPr>
          <w:highlight w:val="white"/>
          <w:rtl w:val="0"/>
        </w:rPr>
        <w:t xml:space="preserve"> mecânica que  estamos usando são as setas inspiradas na mecânica do Kodable. Nosso </w:t>
      </w:r>
      <w:r w:rsidDel="00000000" w:rsidR="00000000" w:rsidRPr="00000000">
        <w:rPr>
          <w:rtl w:val="0"/>
        </w:rPr>
        <w:t xml:space="preserve">personagem é pseudo controlável, com mecânica definida e visual pré-definido, com opção de escolha entre 2 personagens, </w:t>
      </w:r>
      <w:r w:rsidDel="00000000" w:rsidR="00000000" w:rsidRPr="00000000">
        <w:rPr>
          <w:color w:val="1d1c1d"/>
          <w:rtl w:val="0"/>
        </w:rPr>
        <w:t xml:space="preserve">o período do jogo é um cenário recente de Alagoas, o personagem se interage com o contexto através do festival de "Bumba meu boi": </w:t>
      </w:r>
      <w:r w:rsidDel="00000000" w:rsidR="00000000" w:rsidRPr="00000000">
        <w:rPr>
          <w:rtl w:val="0"/>
        </w:rPr>
        <w:t xml:space="preserve">ela  ajuda o boi a realizar o festival (recuperando elementos que foram perdidos, como instrumentos musicais ou roupas típicas). </w:t>
      </w:r>
      <w:r w:rsidDel="00000000" w:rsidR="00000000" w:rsidRPr="00000000">
        <w:rPr>
          <w:color w:val="1d1c1d"/>
          <w:rtl w:val="0"/>
        </w:rPr>
        <w:t xml:space="preserve">A dimensão do jogo é pré-definida, com mapas limitados e um caminho definido. A conectividade tem relação à jogabilidade individual, já que o jogo possui o objetivo de ensinar programação e matemática ao usuário único que esteja jogando. Este é um jogo de perspectiva em terceira pessoa e visual externo, com a interatividade do jogo se baseando no storytelling.</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C3">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rFonts w:ascii="Manrope Medium" w:cs="Manrope Medium" w:eastAsia="Manrope Medium" w:hAnsi="Manrope Medium"/>
          <w:sz w:val="20"/>
          <w:szCs w:val="20"/>
          <w:rtl w:val="0"/>
        </w:rPr>
        <w:t xml:space="preserve">&gt; </w:t>
      </w:r>
      <w:r w:rsidDel="00000000" w:rsidR="00000000" w:rsidRPr="00000000">
        <w:rPr>
          <w:rtl w:val="0"/>
        </w:rPr>
      </w:r>
    </w:p>
    <w:p w:rsidR="00000000" w:rsidDel="00000000" w:rsidP="00000000" w:rsidRDefault="00000000" w:rsidRPr="00000000" w14:paraId="000000C5">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C9">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19"/>
      <w:bookmarkEnd w:id="19"/>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20"/>
      <w:bookmarkEnd w:id="20"/>
      <w:r w:rsidDel="00000000" w:rsidR="00000000" w:rsidRPr="00000000">
        <w:rPr>
          <w:rtl w:val="0"/>
        </w:rPr>
      </w:r>
    </w:p>
    <w:p w:rsidR="00000000" w:rsidDel="00000000" w:rsidP="00000000" w:rsidRDefault="00000000" w:rsidRPr="00000000" w14:paraId="000000C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t xml:space="preserve">&lt;</w:t>
      </w:r>
      <w:r w:rsidDel="00000000" w:rsidR="00000000" w:rsidRPr="00000000">
        <w:rPr>
          <w:rFonts w:ascii="Manrope Medium" w:cs="Manrope Medium" w:eastAsia="Manrope Medium" w:hAnsi="Manrope Medium"/>
          <w:color w:val="4472c4"/>
          <w:sz w:val="20"/>
          <w:szCs w:val="20"/>
          <w:rtl w:val="0"/>
        </w:rPr>
        <w:t xml:space="preserve">Ex: 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nimação, cut-scenes, McGuffin, diálogos, foreshadowing, inciting incident, etc.</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 início do jogo é dada uma ênfase maior para o </w:t>
      </w:r>
      <w:r w:rsidDel="00000000" w:rsidR="00000000" w:rsidRPr="00000000">
        <w:rPr>
          <w:rFonts w:ascii="Manrope Medium" w:cs="Manrope Medium" w:eastAsia="Manrope Medium" w:hAnsi="Manrope Medium"/>
          <w:color w:val="4472c4"/>
          <w:sz w:val="20"/>
          <w:szCs w:val="20"/>
          <w:rtl w:val="0"/>
        </w:rPr>
        <w:t xml:space="preserve">aprendizado, isto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Fazer o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flowchart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do jogo (grafo representando o fluxo do jogo) e descrever </w:t>
      </w:r>
      <w:r w:rsidDel="00000000" w:rsidR="00000000" w:rsidRPr="00000000">
        <w:rPr>
          <w:rFonts w:ascii="Manrope Medium" w:cs="Manrope Medium" w:eastAsia="Manrope Medium" w:hAnsi="Manrope Medium"/>
          <w:color w:val="4472c4"/>
          <w:sz w:val="20"/>
          <w:szCs w:val="20"/>
          <w:rtl w:val="0"/>
        </w:rPr>
        <w:t xml:space="preserve">qual o tipo escolhido</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baseado em ações, em quests, na narrativa, etc</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Justificar de acordo com o gênero escolhido. Por fim, quanto tempo o jogador </w:t>
      </w:r>
      <w:r w:rsidDel="00000000" w:rsidR="00000000" w:rsidRPr="00000000">
        <w:rPr>
          <w:rFonts w:ascii="Manrope Medium" w:cs="Manrope Medium" w:eastAsia="Manrope Medium" w:hAnsi="Manrope Medium"/>
          <w:color w:val="4472c4"/>
          <w:sz w:val="20"/>
          <w:szCs w:val="20"/>
          <w:rtl w:val="0"/>
        </w:rPr>
        <w:t xml:space="preserve">provavelmente utilizará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com o jogo? Ou seja, uma média de tempo de permanência.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B">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DC">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Para cada personagem (se houver mais de um), descrever como foi criado, qual é a sua </w:t>
      </w:r>
      <w:r w:rsidDel="00000000" w:rsidR="00000000" w:rsidRPr="00000000">
        <w:rPr>
          <w:rFonts w:ascii="Manrope Medium" w:cs="Manrope Medium" w:eastAsia="Manrope Medium" w:hAnsi="Manrope Medium"/>
          <w:i w:val="1"/>
          <w:color w:val="4472c4"/>
          <w:sz w:val="20"/>
          <w:szCs w:val="20"/>
          <w:rtl w:val="0"/>
        </w:rPr>
        <w:t xml:space="preserve">backstory</w:t>
      </w:r>
      <w:r w:rsidDel="00000000" w:rsidR="00000000" w:rsidRPr="00000000">
        <w:rPr>
          <w:rFonts w:ascii="Manrope Medium" w:cs="Manrope Medium" w:eastAsia="Manrope Medium" w:hAnsi="Manrope Medium"/>
          <w:color w:val="4472c4"/>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rFonts w:ascii="Manrope Medium" w:cs="Manrope Medium" w:eastAsia="Manrope Medium" w:hAnsi="Manrope Medium"/>
          <w:color w:val="4472c4"/>
          <w:sz w:val="20"/>
          <w:szCs w:val="20"/>
          <w:rtl w:val="0"/>
        </w:rPr>
        <w:br w:type="textWrapping"/>
        <w:t xml:space="preserve">Explicar quando se trata de um NPC (Non-playble character, ou personagem não jogável).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DD">
      <w:pPr>
        <w:pStyle w:val="Title"/>
        <w:numPr>
          <w:ilvl w:val="0"/>
          <w:numId w:val="1"/>
        </w:numPr>
        <w:rPr>
          <w:rFonts w:ascii="Space Mono" w:cs="Space Mono" w:eastAsia="Space Mono" w:hAnsi="Space Mono"/>
          <w:b w:val="1"/>
          <w:sz w:val="32"/>
          <w:szCs w:val="32"/>
        </w:rPr>
      </w:pPr>
      <w:bookmarkStart w:colFirst="0" w:colLast="0" w:name="_86qnwnmaxoxa" w:id="21"/>
      <w:bookmarkEnd w:id="21"/>
      <w:r w:rsidDel="00000000" w:rsidR="00000000" w:rsidRPr="00000000">
        <w:rPr>
          <w:rtl w:val="0"/>
        </w:rPr>
        <w:t xml:space="preserve">Recursos Visuais</w:t>
      </w:r>
    </w:p>
    <w:p w:rsidR="00000000" w:rsidDel="00000000" w:rsidP="00000000" w:rsidRDefault="00000000" w:rsidRPr="00000000" w14:paraId="000000D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E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E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3">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0E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E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7">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E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E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E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E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C">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00">
      <w:pPr>
        <w:pStyle w:val="Title"/>
        <w:numPr>
          <w:ilvl w:val="0"/>
          <w:numId w:val="1"/>
        </w:numPr>
        <w:rPr>
          <w:rFonts w:ascii="Space Mono" w:cs="Space Mono" w:eastAsia="Space Mono" w:hAnsi="Space Mono"/>
          <w:b w:val="1"/>
          <w:sz w:val="32"/>
          <w:szCs w:val="32"/>
        </w:rPr>
      </w:pPr>
      <w:bookmarkStart w:colFirst="0" w:colLast="0" w:name="_rez6ehagodx3" w:id="22"/>
      <w:bookmarkEnd w:id="22"/>
      <w:r w:rsidDel="00000000" w:rsidR="00000000" w:rsidRPr="00000000">
        <w:rPr>
          <w:rtl w:val="0"/>
        </w:rPr>
        <w:t xml:space="preserve">Efeitos Sonoros e Música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3">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0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0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7">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0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0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B">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0C">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0D">
      <w:pPr>
        <w:pStyle w:val="Title"/>
        <w:numPr>
          <w:ilvl w:val="0"/>
          <w:numId w:val="1"/>
        </w:numPr>
        <w:rPr>
          <w:rFonts w:ascii="Space Mono" w:cs="Space Mono" w:eastAsia="Space Mono" w:hAnsi="Space Mono"/>
          <w:b w:val="1"/>
          <w:sz w:val="32"/>
          <w:szCs w:val="32"/>
        </w:rPr>
      </w:pPr>
      <w:bookmarkStart w:colFirst="0" w:colLast="0" w:name="_y39aecermcdg" w:id="23"/>
      <w:bookmarkEnd w:id="23"/>
      <w:r w:rsidDel="00000000" w:rsidR="00000000" w:rsidRPr="00000000">
        <w:rPr>
          <w:rtl w:val="0"/>
        </w:rPr>
        <w:t xml:space="preserve">Análise de Mercado</w:t>
      </w:r>
    </w:p>
    <w:p w:rsidR="00000000" w:rsidDel="00000000" w:rsidP="00000000" w:rsidRDefault="00000000" w:rsidRPr="00000000" w14:paraId="0000010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F">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10">
      <w:pPr>
        <w:rPr>
          <w:rFonts w:ascii="Manrope Medium" w:cs="Manrope Medium" w:eastAsia="Manrope Medium" w:hAnsi="Manrope Medium"/>
          <w:sz w:val="20"/>
          <w:szCs w:val="20"/>
        </w:rPr>
      </w:pPr>
      <w:r w:rsidDel="00000000" w:rsidR="00000000" w:rsidRPr="00000000">
        <w:rPr>
          <w:sz w:val="21"/>
          <w:szCs w:val="21"/>
          <w:highlight w:val="white"/>
        </w:rPr>
        <w:drawing>
          <wp:inline distB="114300" distT="114300" distL="114300" distR="114300">
            <wp:extent cx="5731200" cy="57277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5"/>
        </w:numPr>
        <w:ind w:left="720" w:hanging="360"/>
        <w:rPr>
          <w:sz w:val="21"/>
          <w:szCs w:val="21"/>
          <w:highlight w:val="white"/>
        </w:rPr>
      </w:pPr>
      <w:r w:rsidDel="00000000" w:rsidR="00000000" w:rsidRPr="00000000">
        <w:rPr>
          <w:sz w:val="21"/>
          <w:szCs w:val="21"/>
          <w:highlight w:val="white"/>
          <w:rtl w:val="0"/>
        </w:rPr>
        <w:t xml:space="preserve">Sobre as concorrências: As plataformas Loadable e Scratch elas não são traduzidas, sendo completamente em inglês, não tendo uma conexão com a cultura brasileira, então existe uma concorrência mas ao mesmo tempo são tão desconectadas com o contexto social  brasileiro que não podem considerar uma concorrência forte.</w:t>
      </w:r>
      <w:r w:rsidDel="00000000" w:rsidR="00000000" w:rsidRPr="00000000">
        <w:rPr>
          <w:rtl w:val="0"/>
        </w:rPr>
      </w:r>
    </w:p>
    <w:p w:rsidR="00000000" w:rsidDel="00000000" w:rsidP="00000000" w:rsidRDefault="00000000" w:rsidRPr="00000000" w14:paraId="0000011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3">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14">
      <w:pPr>
        <w:shd w:fill="ffffff" w:val="clear"/>
        <w:rPr>
          <w:color w:val="1d1c1d"/>
          <w:sz w:val="23"/>
          <w:szCs w:val="23"/>
          <w:highlight w:val="white"/>
        </w:rPr>
      </w:pPr>
      <w:r w:rsidDel="00000000" w:rsidR="00000000" w:rsidRPr="00000000">
        <w:rPr>
          <w:color w:val="1d1c1d"/>
          <w:sz w:val="23"/>
          <w:szCs w:val="23"/>
          <w:highlight w:val="white"/>
          <w:rtl w:val="0"/>
        </w:rPr>
        <w:t xml:space="preserve">A Universidade Federal de Alagoas (UFAL) é uma instituição de ensino superior localizada no estado de Alagoas, Brasil. É uma universidade federal, o que significa que é financiada pelo governo federal e oferece ensino gratuito aos seus estudantes.</w:t>
      </w:r>
    </w:p>
    <w:p w:rsidR="00000000" w:rsidDel="00000000" w:rsidP="00000000" w:rsidRDefault="00000000" w:rsidRPr="00000000" w14:paraId="00000115">
      <w:pPr>
        <w:shd w:fill="ffffff" w:val="clear"/>
        <w:rPr>
          <w:color w:val="1d1c1d"/>
          <w:sz w:val="23"/>
          <w:szCs w:val="23"/>
          <w:highlight w:val="white"/>
        </w:rPr>
      </w:pPr>
      <w:r w:rsidDel="00000000" w:rsidR="00000000" w:rsidRPr="00000000">
        <w:rPr>
          <w:color w:val="1d1c1d"/>
          <w:sz w:val="23"/>
          <w:szCs w:val="23"/>
          <w:highlight w:val="white"/>
          <w:rtl w:val="0"/>
        </w:rPr>
        <w:t xml:space="preserve">A análise de cinco forças de Porter é uma ferramenta utilizada para avaliar a atratividade de um setor. Aqui está uma análise de cinco forças de Porter da UFAL:</w:t>
      </w:r>
    </w:p>
    <w:p w:rsidR="00000000" w:rsidDel="00000000" w:rsidP="00000000" w:rsidRDefault="00000000" w:rsidRPr="00000000" w14:paraId="00000116">
      <w:pPr>
        <w:numPr>
          <w:ilvl w:val="0"/>
          <w:numId w:val="3"/>
        </w:numPr>
        <w:shd w:fill="ffffff" w:val="clear"/>
        <w:ind w:left="1140" w:hanging="360"/>
        <w:rPr>
          <w:highlight w:val="white"/>
        </w:rPr>
      </w:pPr>
      <w:r w:rsidDel="00000000" w:rsidR="00000000" w:rsidRPr="00000000">
        <w:rPr>
          <w:color w:val="1d1c1d"/>
          <w:sz w:val="23"/>
          <w:szCs w:val="23"/>
          <w:highlight w:val="white"/>
          <w:rtl w:val="0"/>
        </w:rPr>
        <w:t xml:space="preserve">1. Concorrência entre os participantes do mercado: A UFAL enfrenta uma concorrência moderada de outras universidades públicas e privadas no estado de Alagoas e região. No entanto, como é uma universidade federal, tem uma vantagem sobre outras instituições de ensino superior, pois pode oferecer ensino gratuito aos seus estudantes.</w:t>
      </w:r>
    </w:p>
    <w:p w:rsidR="00000000" w:rsidDel="00000000" w:rsidP="00000000" w:rsidRDefault="00000000" w:rsidRPr="00000000" w14:paraId="00000117">
      <w:pPr>
        <w:numPr>
          <w:ilvl w:val="0"/>
          <w:numId w:val="3"/>
        </w:numPr>
        <w:shd w:fill="ffffff" w:val="clear"/>
        <w:ind w:left="1140" w:hanging="360"/>
        <w:rPr>
          <w:highlight w:val="white"/>
        </w:rPr>
      </w:pPr>
      <w:r w:rsidDel="00000000" w:rsidR="00000000" w:rsidRPr="00000000">
        <w:rPr>
          <w:color w:val="1d1c1d"/>
          <w:sz w:val="23"/>
          <w:szCs w:val="23"/>
          <w:highlight w:val="white"/>
          <w:rtl w:val="0"/>
        </w:rPr>
        <w:t xml:space="preserve">2. Poder de barganha dos fornecedores: O poder de barganha dos fornecedores da UFAL é moderado, pois a instituição tem recursos financeiros suficientes para adquirir os bens e serviços de que precisa, mas também depende de fornecedores externos para atender às suas necessidades.</w:t>
      </w:r>
    </w:p>
    <w:p w:rsidR="00000000" w:rsidDel="00000000" w:rsidP="00000000" w:rsidRDefault="00000000" w:rsidRPr="00000000" w14:paraId="00000118">
      <w:pPr>
        <w:numPr>
          <w:ilvl w:val="0"/>
          <w:numId w:val="3"/>
        </w:numPr>
        <w:shd w:fill="ffffff" w:val="clear"/>
        <w:ind w:left="1140" w:hanging="360"/>
        <w:rPr>
          <w:highlight w:val="white"/>
        </w:rPr>
      </w:pPr>
      <w:r w:rsidDel="00000000" w:rsidR="00000000" w:rsidRPr="00000000">
        <w:rPr>
          <w:color w:val="1d1c1d"/>
          <w:sz w:val="23"/>
          <w:szCs w:val="23"/>
          <w:highlight w:val="white"/>
          <w:rtl w:val="0"/>
        </w:rPr>
        <w:t xml:space="preserve">3. Poder de barganha dos compradores: O poder de barganha dos compradores (os estudantes) da UFAL é moderado, pois a instituição oferece ensino gratuito aos seus estudantes, o que pode limitar o poder de barganha destes. No entanto, a UFAL enfrenta a concorrência de outras instituições de ensino superior, o que pode dar aos estudantes mais opções e, portanto, mais poder de barganha.</w:t>
      </w:r>
    </w:p>
    <w:p w:rsidR="00000000" w:rsidDel="00000000" w:rsidP="00000000" w:rsidRDefault="00000000" w:rsidRPr="00000000" w14:paraId="00000119">
      <w:pPr>
        <w:numPr>
          <w:ilvl w:val="0"/>
          <w:numId w:val="3"/>
        </w:numPr>
        <w:shd w:fill="ffffff" w:val="clear"/>
        <w:ind w:left="1140" w:hanging="360"/>
        <w:rPr>
          <w:highlight w:val="white"/>
        </w:rPr>
      </w:pPr>
      <w:r w:rsidDel="00000000" w:rsidR="00000000" w:rsidRPr="00000000">
        <w:rPr>
          <w:color w:val="1d1c1d"/>
          <w:sz w:val="23"/>
          <w:szCs w:val="23"/>
          <w:highlight w:val="white"/>
          <w:rtl w:val="0"/>
        </w:rPr>
        <w:t xml:space="preserve">4. Ameaça de novos entrantes: A ameaça de novos entrantes no setor de ensino superior na região da UFAL é moderada, pois é necessário investimento significativo em recursos financeiros, humanos e tecnológicos para entrar no setor. Além disso, a UFAL tem uma posição estabelecida e reconhecida na região, o que pode dificultar a entrada de novos competidores.</w:t>
      </w:r>
    </w:p>
    <w:p w:rsidR="00000000" w:rsidDel="00000000" w:rsidP="00000000" w:rsidRDefault="00000000" w:rsidRPr="00000000" w14:paraId="0000011A">
      <w:pPr>
        <w:numPr>
          <w:ilvl w:val="0"/>
          <w:numId w:val="3"/>
        </w:numPr>
        <w:shd w:fill="ffffff" w:val="clear"/>
        <w:ind w:left="1140" w:hanging="360"/>
        <w:rPr>
          <w:highlight w:val="white"/>
        </w:rPr>
      </w:pPr>
      <w:r w:rsidDel="00000000" w:rsidR="00000000" w:rsidRPr="00000000">
        <w:rPr>
          <w:color w:val="1d1c1d"/>
          <w:sz w:val="23"/>
          <w:szCs w:val="23"/>
          <w:highlight w:val="white"/>
          <w:rtl w:val="0"/>
        </w:rPr>
        <w:t xml:space="preserve">5. Ameaça de produtos substitutos: A ameaça de produtos substitutos da UFAL é moderada, pois existem outras opções de ensino, como escolas técnicas e profissionais, que podem oferecer formação para algumas áreas de trabalho. No entanto, a UFAL oferece uma ampla gama de programas de graduação e pós-graduação, o que diferencia a instituição de outras.</w:t>
      </w:r>
      <w:r w:rsidDel="00000000" w:rsidR="00000000" w:rsidRPr="00000000">
        <w:rPr>
          <w:rtl w:val="0"/>
        </w:rPr>
      </w:r>
    </w:p>
    <w:p w:rsidR="00000000" w:rsidDel="00000000" w:rsidP="00000000" w:rsidRDefault="00000000" w:rsidRPr="00000000" w14:paraId="0000011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1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9419362" cy="4609678"/>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rot="5400000">
                      <a:off x="0" y="0"/>
                      <a:ext cx="9419362" cy="460967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1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2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vx1227" w:id="24"/>
      <w:bookmarkEnd w:id="24"/>
      <w:r w:rsidDel="00000000" w:rsidR="00000000" w:rsidRPr="00000000">
        <w:rPr>
          <w:rFonts w:ascii="Manrope Medium" w:cs="Manrope Medium" w:eastAsia="Manrope Medium" w:hAnsi="Manrope Medium"/>
          <w:sz w:val="20"/>
          <w:szCs w:val="20"/>
        </w:rPr>
        <w:drawing>
          <wp:inline distB="114300" distT="114300" distL="114300" distR="114300">
            <wp:extent cx="6303900" cy="48133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3039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ic1p9tmmz78e" w:id="25"/>
      <w:bookmarkEnd w:id="25"/>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lwdqrwllarp9" w:id="26"/>
      <w:bookmarkEnd w:id="26"/>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u314tkiqdm29" w:id="27"/>
      <w:bookmarkEnd w:id="27"/>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oni07sqqsi3m" w:id="28"/>
      <w:bookmarkEnd w:id="28"/>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iralq8ypi098" w:id="29"/>
      <w:bookmarkEnd w:id="29"/>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dtw414sy61mu" w:id="30"/>
      <w:bookmarkEnd w:id="30"/>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lh6wrjit2ee9" w:id="31"/>
      <w:bookmarkEnd w:id="31"/>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9izzfzdimjxn" w:id="32"/>
      <w:bookmarkEnd w:id="32"/>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8xj56841gve" w:id="33"/>
      <w:bookmarkEnd w:id="33"/>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Manrope Medium" w:cs="Manrope Medium" w:eastAsia="Manrope Medium" w:hAnsi="Manrope Medium"/>
        </w:rPr>
      </w:pPr>
      <w:bookmarkStart w:colFirst="0" w:colLast="0" w:name="_itmocb91cba9" w:id="34"/>
      <w:bookmarkEnd w:id="34"/>
      <w:r w:rsidDel="00000000" w:rsidR="00000000" w:rsidRPr="00000000">
        <w:rPr>
          <w:rFonts w:ascii="Manrope Medium" w:cs="Manrope Medium" w:eastAsia="Manrope Medium" w:hAnsi="Manrope Medium"/>
          <w:rtl w:val="0"/>
        </w:rPr>
        <w:t xml:space="preserve">Plano de ação: (propostas de soluções e respostas para os respectivos problemas)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sz w:val="20"/>
          <w:szCs w:val="20"/>
        </w:rPr>
      </w:pPr>
      <w:bookmarkStart w:colFirst="0" w:colLast="0" w:name="_ealdn5994dse" w:id="35"/>
      <w:bookmarkEnd w:id="35"/>
      <w:r w:rsidDel="00000000" w:rsidR="00000000" w:rsidRPr="00000000">
        <w:rPr>
          <w:rFonts w:ascii="Manrope Medium" w:cs="Manrope Medium" w:eastAsia="Manrope Medium" w:hAnsi="Manrope Medium"/>
          <w:sz w:val="20"/>
          <w:szCs w:val="20"/>
        </w:rPr>
        <w:drawing>
          <wp:inline distB="114300" distT="114300" distL="114300" distR="114300">
            <wp:extent cx="6303900" cy="45847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3039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36"/>
      <w:bookmarkEnd w:id="36"/>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2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2F">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3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3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3">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3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3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3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3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B">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3D">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37"/>
      <w:bookmarkEnd w:id="37"/>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38"/>
      <w:bookmarkEnd w:id="38"/>
      <w:r w:rsidDel="00000000" w:rsidR="00000000" w:rsidRPr="00000000">
        <w:rPr>
          <w:rtl w:val="0"/>
        </w:rPr>
      </w:r>
    </w:p>
    <w:p w:rsidR="00000000" w:rsidDel="00000000" w:rsidP="00000000" w:rsidRDefault="00000000" w:rsidRPr="00000000" w14:paraId="00000140">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39"/>
      <w:bookmarkEnd w:id="39"/>
      <w:r w:rsidDel="00000000" w:rsidR="00000000" w:rsidRPr="00000000">
        <w:rPr>
          <w:vertAlign w:val="baseline"/>
          <w:rtl w:val="0"/>
        </w:rPr>
        <w:t xml:space="preserve">Apêndice A</w:t>
      </w:r>
    </w:p>
    <w:p w:rsidR="00000000" w:rsidDel="00000000" w:rsidP="00000000" w:rsidRDefault="00000000" w:rsidRPr="00000000" w14:paraId="00000141">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42">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43">
      <w:pPr>
        <w:pStyle w:val="Title"/>
        <w:rPr/>
      </w:pPr>
      <w:bookmarkStart w:colFirst="0" w:colLast="0" w:name="_q654elpavrr8" w:id="40"/>
      <w:bookmarkEnd w:id="40"/>
      <w:r w:rsidDel="00000000" w:rsidR="00000000" w:rsidRPr="00000000">
        <w:rPr>
          <w:rtl w:val="0"/>
        </w:rPr>
        <w:t xml:space="preserve">Apêndice B</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Title"/>
        <w:rPr/>
      </w:pPr>
      <w:bookmarkStart w:colFirst="0" w:colLast="0" w:name="_o480cvbgnjh5" w:id="41"/>
      <w:bookmarkEnd w:id="41"/>
      <w:r w:rsidDel="00000000" w:rsidR="00000000" w:rsidRPr="00000000">
        <w:rPr>
          <w:rtl w:val="0"/>
        </w:rPr>
        <w:t xml:space="preserve">Apêndice C</w:t>
      </w:r>
      <w:r w:rsidDel="00000000" w:rsidR="00000000" w:rsidRPr="00000000">
        <w:rPr>
          <w:rtl w:val="0"/>
        </w:rPr>
      </w:r>
    </w:p>
    <w:sectPr>
      <w:footerReference r:id="rId10"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