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3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
                <a:graphic>
                  <a:graphicData uri="http://schemas.microsoft.com/office/word/2010/wordprocessingShape">
                    <wps:wsp>
                      <wps:cNvSpPr/>
                      <wps:cNvPr id="2" name="Shape 2"/>
                      <wps:spPr>
                        <a:xfrm>
                          <a:off x="3403850" y="1810225"/>
                          <a:ext cx="3884400" cy="278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w:t>
                            </w:r>
                            <w:r w:rsidDel="00000000" w:rsidR="00000000" w:rsidRPr="00000000">
                              <w:rPr>
                                <w:rFonts w:ascii="Space Mono" w:cs="Space Mono" w:eastAsia="Space Mono" w:hAnsi="Space Mono"/>
                                <w:b w:val="1"/>
                                <w:i w:val="0"/>
                                <w:smallCaps w:val="0"/>
                                <w:strike w:val="0"/>
                                <w:color w:val="fefefe"/>
                                <w:sz w:val="48"/>
                                <w:vertAlign w:val="baseline"/>
                              </w:rPr>
                              <w:t xml:space="preserve">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3941453" cy="2826310"/>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3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3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Luiz Fernando Covas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r w:rsidDel="00000000" w:rsidR="00000000" w:rsidRPr="00000000">
              <w:rPr>
                <w:sz w:val="20"/>
                <w:szCs w:val="20"/>
                <w:rtl w:val="0"/>
              </w:rPr>
              <w:t xml:space="preserve"> e 4.1.4 </w:t>
            </w:r>
            <w:r w:rsidDel="00000000" w:rsidR="00000000" w:rsidRPr="00000000">
              <w:rPr>
                <w:rFonts w:ascii="Manrope" w:cs="Manrope" w:eastAsia="Manrope" w:hAnsi="Manrope"/>
                <w:sz w:val="20"/>
                <w:szCs w:val="20"/>
                <w:rtl w:val="0"/>
              </w:rPr>
              <w:t xml:space="preserve">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Rafael Techio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Burle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Atualização 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 e 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para entrega 1</w:t>
            </w:r>
          </w:p>
        </w:tc>
      </w:tr>
    </w:tbl>
    <w:p w:rsidR="00000000" w:rsidDel="00000000" w:rsidP="00000000" w:rsidRDefault="00000000" w:rsidRPr="00000000" w14:paraId="000000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2"/>
          <w:szCs w:val="2"/>
        </w:rPr>
      </w:pPr>
      <w:r w:rsidDel="00000000" w:rsidR="00000000" w:rsidRPr="00000000">
        <w:rPr>
          <w:rtl w:val="0"/>
        </w:rPr>
      </w:r>
    </w:p>
    <w:p w:rsidR="00000000" w:rsidDel="00000000" w:rsidP="00000000" w:rsidRDefault="00000000" w:rsidRPr="00000000" w14:paraId="000000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4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2"/>
          <w:szCs w:val="22"/>
        </w:rPr>
      </w:pPr>
      <w:bookmarkStart w:colFirst="0" w:colLast="0" w:name="_heading=h.2et92p0"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43">
      <w:pPr>
        <w:spacing w:after="0" w:line="360" w:lineRule="auto"/>
        <w:ind w:firstLine="720"/>
        <w:jc w:val="both"/>
        <w:rPr/>
      </w:pPr>
      <w:r w:rsidDel="00000000" w:rsidR="00000000" w:rsidRPr="00000000">
        <w:rPr>
          <w:rtl w:val="0"/>
        </w:rPr>
        <w:t xml:space="preserve">Nosso parceiro neste módulo é a faculdade de medicina da USP,  com o ICESP (Instituto de Câncer do Estado de São Paulo). O Instituto do Câncer do Estado de São Paulo – Octavio Frias de Oliveira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Fundação Faculdade de Medicina, por meio do Contrato de Gestão n° 01/2022, Processo HCFMUSP n° 68.919/2021.</w:t>
      </w:r>
    </w:p>
    <w:p w:rsidR="00000000" w:rsidDel="00000000" w:rsidP="00000000" w:rsidRDefault="00000000" w:rsidRPr="00000000" w14:paraId="00000044">
      <w:pPr>
        <w:shd w:fill="ffffff" w:val="clear"/>
        <w:spacing w:after="220" w:line="360" w:lineRule="auto"/>
        <w:ind w:firstLine="72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45">
      <w:pPr>
        <w:shd w:fill="ffffff" w:val="clear"/>
        <w:spacing w:after="220" w:line="360" w:lineRule="auto"/>
        <w:ind w:firstLine="72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 </w:t>
      </w:r>
    </w:p>
    <w:p w:rsidR="00000000" w:rsidDel="00000000" w:rsidP="00000000" w:rsidRDefault="00000000" w:rsidRPr="00000000" w14:paraId="00000046">
      <w:pPr>
        <w:shd w:fill="ffffff" w:val="clear"/>
        <w:spacing w:after="220" w:line="360" w:lineRule="auto"/>
        <w:ind w:firstLine="720"/>
        <w:jc w:val="both"/>
        <w:rPr/>
      </w:pPr>
      <w:r w:rsidDel="00000000" w:rsidR="00000000" w:rsidRPr="00000000">
        <w:rPr>
          <w:rtl w:val="0"/>
        </w:rPr>
        <w:t xml:space="preserve">Visto que, a evolução do câncer de mama e sua resposta a tratamentos convencionais é muito variável. Conseguimos identificar padrões preditivos dessa variabilidade a partir de dados clínicos e do seguimento desses pacientes?</w:t>
      </w:r>
    </w:p>
    <w:p w:rsidR="00000000" w:rsidDel="00000000" w:rsidP="00000000" w:rsidRDefault="00000000" w:rsidRPr="00000000" w14:paraId="00000047">
      <w:pPr>
        <w:shd w:fill="ffffff" w:val="clear"/>
        <w:spacing w:after="220" w:line="360" w:lineRule="auto"/>
        <w:ind w:firstLine="72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4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6"/>
      <w:bookmarkEnd w:id="6"/>
      <w:r w:rsidDel="00000000" w:rsidR="00000000" w:rsidRPr="00000000">
        <w:rPr>
          <w:rtl w:val="0"/>
        </w:rPr>
        <w:t xml:space="preserve">2. Objetivos e Justificativa</w:t>
      </w:r>
    </w:p>
    <w:p w:rsidR="00000000" w:rsidDel="00000000" w:rsidP="00000000" w:rsidRDefault="00000000" w:rsidRPr="00000000" w14:paraId="0000004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tab/>
      </w:r>
      <w:r w:rsidDel="00000000" w:rsidR="00000000" w:rsidRPr="00000000">
        <w:rPr>
          <w:b w:val="0"/>
          <w:color w:val="000000"/>
          <w:sz w:val="22"/>
          <w:szCs w:val="22"/>
          <w:rtl w:val="0"/>
        </w:rPr>
        <w:t xml:space="preserve">A faculdade de medicina da USP com o ICESP pretende, utilizar do nosso modelo preditivo construído com base no dataset fornecido por eles para prever a melhor tomada de decisão em relação ao tipo de tratamento que se deve sugerir para pacientes portadoras do câncer de mama, sendo eles, neoadjuvante ou adjuvante.</w:t>
      </w:r>
      <w:r w:rsidDel="00000000" w:rsidR="00000000" w:rsidRPr="00000000">
        <w:rPr>
          <w:rtl w:val="0"/>
        </w:rPr>
      </w:r>
    </w:p>
    <w:p w:rsidR="00000000" w:rsidDel="00000000" w:rsidP="00000000" w:rsidRDefault="00000000" w:rsidRPr="00000000" w14:paraId="0000004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Manrope" w:cs="Manrope" w:eastAsia="Manrope" w:hAnsi="Manrope"/>
          <w:color w:val="3c0a49"/>
          <w:sz w:val="22"/>
          <w:szCs w:val="22"/>
        </w:rPr>
      </w:pPr>
      <w:r w:rsidDel="00000000" w:rsidR="00000000" w:rsidRPr="00000000">
        <w:rPr>
          <w:rtl w:val="0"/>
        </w:rPr>
        <w:tab/>
        <w:t xml:space="preserve">O diagnóstico de câncer de mama atualmente apresenta um alto grau de precisão, no entanto, alguns casos não apresentam a melhora esperada pelos médicos.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que podem fazer parte desses casos, auxiliando o médico, aumentando a taxa de sucesso dos tratamentos e impactando diretamente a vida dessas pessoas.</w:t>
      </w:r>
      <w:r w:rsidDel="00000000" w:rsidR="00000000" w:rsidRPr="00000000">
        <w:rPr>
          <w:rtl w:val="0"/>
        </w:rPr>
      </w:r>
    </w:p>
    <w:p w:rsidR="00000000" w:rsidDel="00000000" w:rsidP="00000000" w:rsidRDefault="00000000" w:rsidRPr="00000000" w14:paraId="0000004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i w:val="1"/>
          <w:color w:val="b7b7b7"/>
          <w:rtl w:val="0"/>
        </w:rPr>
        <w:tab/>
      </w: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aprimoraremos e aumentaremos a taxa de efetividade na escolha. Dessa forma, conseguiremos diminuir a taxa de mortalidade das pacientes portadoras de câncer.</w:t>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4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5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11"/>
      <w:bookmarkEnd w:id="11"/>
      <w:r w:rsidDel="00000000" w:rsidR="00000000" w:rsidRPr="00000000">
        <w:rPr>
          <w:rtl w:val="0"/>
        </w:rPr>
        <w:t xml:space="preserve">3. Metodologia</w:t>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5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6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61">
      <w:pPr>
        <w:shd w:fill="ffffff" w:val="clear"/>
        <w:spacing w:after="220" w:line="360" w:lineRule="auto"/>
        <w:ind w:firstLine="720"/>
        <w:jc w:val="both"/>
        <w:rPr/>
      </w:pPr>
      <w:r w:rsidDel="00000000" w:rsidR="00000000" w:rsidRPr="00000000">
        <w:rPr>
          <w:rFonts w:ascii="Arial" w:cs="Arial" w:eastAsia="Arial" w:hAnsi="Arial"/>
          <w:sz w:val="24"/>
          <w:szCs w:val="24"/>
          <w:rtl w:val="0"/>
        </w:rPr>
        <w:t xml:space="preserve"> </w:t>
      </w: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0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0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0" w:firstLine="0"/>
        <w:jc w:val="both"/>
        <w:rPr/>
      </w:pPr>
      <w:r w:rsidDel="00000000" w:rsidR="00000000" w:rsidRPr="00000000">
        <w:rPr>
          <w:rtl w:val="0"/>
        </w:rPr>
        <w:t xml:space="preserve">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hormonioterapia e terapia biológica (terapia alvo).</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t xml:space="preserve">O tratamento varia   estadiamento da doença, as características biológicas do tumor e as condições da paciente (idade, se já passou ou não pela menopausa, doenças preexistentes e preferências).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6C">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6D">
      <w:pPr>
        <w:shd w:fill="ffffff" w:val="clear"/>
        <w:spacing w:after="220" w:line="360" w:lineRule="auto"/>
        <w:ind w:firstLine="720"/>
        <w:jc w:val="both"/>
        <w:rPr/>
      </w:pPr>
      <w:r w:rsidDel="00000000" w:rsidR="00000000" w:rsidRPr="00000000">
        <w:rPr>
          <w:rtl w:val="0"/>
        </w:rPr>
        <w:t xml:space="preserve">O Instituto do Câncer do Estado de São Paulo (Icesp) é uma instituição de atendimento especializado em tratamento oncológico que segue os princípios do Sistema Único de Saúde (SUS).</w:t>
      </w:r>
    </w:p>
    <w:p w:rsidR="00000000" w:rsidDel="00000000" w:rsidP="00000000" w:rsidRDefault="00000000" w:rsidRPr="00000000" w14:paraId="0000006E">
      <w:pPr>
        <w:shd w:fill="ffffff" w:val="clear"/>
        <w:spacing w:after="220" w:line="360" w:lineRule="auto"/>
        <w:ind w:firstLine="72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6F">
      <w:pPr>
        <w:shd w:fill="ffffff" w:val="clear"/>
        <w:spacing w:after="220" w:line="360" w:lineRule="auto"/>
        <w:ind w:firstLine="72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70">
      <w:pPr>
        <w:shd w:fill="ffffff" w:val="clear"/>
        <w:spacing w:after="220" w:line="360" w:lineRule="auto"/>
        <w:ind w:firstLine="720"/>
        <w:jc w:val="both"/>
        <w:rPr/>
      </w:pPr>
      <w:r w:rsidDel="00000000" w:rsidR="00000000" w:rsidRPr="00000000">
        <w:rPr>
          <w:rtl w:val="0"/>
        </w:rPr>
        <w:t xml:space="preserve">O trabalho da Central de Regulação de Vagas (CROSS), portanto, é garantir que os pacientes sejam encaminhados para os centros especializados em tratamento oncológico </w:t>
      </w:r>
    </w:p>
    <w:p w:rsidR="00000000" w:rsidDel="00000000" w:rsidP="00000000" w:rsidRDefault="00000000" w:rsidRPr="00000000" w14:paraId="00000071">
      <w:pPr>
        <w:shd w:fill="ffffff" w:val="clear"/>
        <w:spacing w:after="220" w:line="360" w:lineRule="auto"/>
        <w:ind w:left="0" w:firstLine="0"/>
        <w:jc w:val="both"/>
        <w:rPr/>
      </w:pPr>
      <w:r w:rsidDel="00000000" w:rsidR="00000000" w:rsidRPr="00000000">
        <w:rPr>
          <w:rtl w:val="0"/>
        </w:rPr>
        <w:t xml:space="preserve">localizados próximos de sua residência baseado em protocolos clínicos de atendimento e, em alinhamento com os fluxos de contrarreferenciamento de retorno para região de origem.</w:t>
      </w:r>
    </w:p>
    <w:p w:rsidR="00000000" w:rsidDel="00000000" w:rsidP="00000000" w:rsidRDefault="00000000" w:rsidRPr="00000000" w14:paraId="00000072">
      <w:pPr>
        <w:shd w:fill="ffffff" w:val="clear"/>
        <w:spacing w:after="220" w:line="360" w:lineRule="auto"/>
        <w:ind w:left="0" w:firstLine="0"/>
        <w:jc w:val="both"/>
        <w:rPr>
          <w:b w:val="1"/>
        </w:rPr>
      </w:pPr>
      <w:r w:rsidDel="00000000" w:rsidR="00000000" w:rsidRPr="00000000">
        <w:rPr>
          <w:b w:val="1"/>
          <w:rtl w:val="0"/>
        </w:rPr>
        <w:br w:type="textWrapping"/>
        <w:br w:type="textWrapping"/>
        <w:br w:type="textWrapping"/>
      </w:r>
    </w:p>
    <w:p w:rsidR="00000000" w:rsidDel="00000000" w:rsidP="00000000" w:rsidRDefault="00000000" w:rsidRPr="00000000" w14:paraId="00000073">
      <w:pPr>
        <w:shd w:fill="ffffff" w:val="clear"/>
        <w:spacing w:after="220" w:line="360" w:lineRule="auto"/>
        <w:ind w:left="0" w:firstLine="0"/>
        <w:jc w:val="both"/>
        <w:rPr>
          <w:b w:val="1"/>
        </w:rPr>
      </w:pPr>
      <w:r w:rsidDel="00000000" w:rsidR="00000000" w:rsidRPr="00000000">
        <w:rPr>
          <w:b w:val="1"/>
          <w:rtl w:val="0"/>
        </w:rPr>
        <w:t xml:space="preserve">Concorrentes</w:t>
      </w:r>
    </w:p>
    <w:p w:rsidR="00000000" w:rsidDel="00000000" w:rsidP="00000000" w:rsidRDefault="00000000" w:rsidRPr="00000000" w14:paraId="00000074">
      <w:pPr>
        <w:shd w:fill="ffffff" w:val="clear"/>
        <w:spacing w:after="220" w:line="360" w:lineRule="auto"/>
        <w:ind w:firstLine="72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75">
      <w:pPr>
        <w:shd w:fill="ffffff" w:val="clear"/>
        <w:spacing w:after="220" w:line="360" w:lineRule="auto"/>
        <w:ind w:left="0"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76">
      <w:pPr>
        <w:shd w:fill="ffffff" w:val="clear"/>
        <w:spacing w:after="220" w:line="360" w:lineRule="auto"/>
        <w:ind w:firstLine="720"/>
        <w:jc w:val="both"/>
        <w:rPr/>
      </w:pPr>
      <w:r w:rsidDel="00000000" w:rsidR="00000000" w:rsidRPr="00000000">
        <w:rPr>
          <w:highlight w:val="white"/>
          <w:rtl w:val="0"/>
        </w:rPr>
        <w:t xml:space="preserve">O Hospital Israelita Albert Einstein é um </w:t>
      </w:r>
      <w:hyperlink r:id="rId13">
        <w:r w:rsidDel="00000000" w:rsidR="00000000" w:rsidRPr="00000000">
          <w:rPr>
            <w:highlight w:val="white"/>
            <w:rtl w:val="0"/>
          </w:rPr>
          <w:t xml:space="preserve">hospital</w:t>
        </w:r>
      </w:hyperlink>
      <w:r w:rsidDel="00000000" w:rsidR="00000000" w:rsidRPr="00000000">
        <w:rPr>
          <w:highlight w:val="white"/>
          <w:rtl w:val="0"/>
        </w:rPr>
        <w:t xml:space="preserve"> </w:t>
      </w:r>
      <w:hyperlink r:id="rId14">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15">
        <w:r w:rsidDel="00000000" w:rsidR="00000000" w:rsidRPr="00000000">
          <w:rPr>
            <w:highlight w:val="white"/>
            <w:rtl w:val="0"/>
          </w:rPr>
          <w:t xml:space="preserve">Morumbi</w:t>
        </w:r>
      </w:hyperlink>
      <w:r w:rsidDel="00000000" w:rsidR="00000000" w:rsidRPr="00000000">
        <w:rPr>
          <w:highlight w:val="white"/>
          <w:rtl w:val="0"/>
        </w:rPr>
        <w:t xml:space="preserve">, </w:t>
      </w:r>
      <w:hyperlink r:id="rId16">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17">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77">
      <w:pPr>
        <w:shd w:fill="ffffff" w:val="clear"/>
        <w:spacing w:after="220" w:line="360" w:lineRule="auto"/>
        <w:ind w:left="0" w:firstLine="720"/>
        <w:jc w:val="both"/>
        <w:rPr/>
      </w:pPr>
      <w:r w:rsidDel="00000000" w:rsidR="00000000" w:rsidRPr="00000000">
        <w:rPr>
          <w:rtl w:val="0"/>
        </w:rPr>
        <w:t xml:space="preserve">Criado para ser o mais avançado polo de prevenção e tratamento do câncer na América Latina, o </w:t>
      </w:r>
      <w:hyperlink r:id="rId18">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78">
      <w:pPr>
        <w:shd w:fill="ffffff" w:val="clear"/>
        <w:spacing w:after="220" w:before="380" w:line="360" w:lineRule="auto"/>
        <w:ind w:left="0" w:right="-220" w:firstLine="708.6614173228347"/>
        <w:jc w:val="both"/>
        <w:rPr/>
      </w:pPr>
      <w:r w:rsidDel="00000000" w:rsidR="00000000" w:rsidRPr="00000000">
        <w:rPr>
          <w:rtl w:val="0"/>
        </w:rPr>
        <w:t xml:space="preserve">    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79">
      <w:pPr>
        <w:shd w:fill="ffffff" w:val="clear"/>
        <w:spacing w:after="220" w:line="360" w:lineRule="auto"/>
        <w:ind w:left="0"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7A">
      <w:pPr>
        <w:shd w:fill="ffffff" w:val="clear"/>
        <w:spacing w:after="220" w:line="360" w:lineRule="auto"/>
        <w:ind w:firstLine="72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7B">
      <w:pPr>
        <w:pBdr>
          <w:top w:color="auto" w:space="0" w:sz="0" w:val="none"/>
          <w:left w:color="auto" w:space="0" w:sz="0" w:val="none"/>
          <w:bottom w:color="auto" w:space="14" w:sz="0" w:val="none"/>
          <w:right w:color="auto" w:space="0" w:sz="0" w:val="none"/>
        </w:pBdr>
        <w:shd w:fill="ffffff" w:val="clear"/>
        <w:spacing w:after="0" w:line="360" w:lineRule="auto"/>
        <w:ind w:firstLine="72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7C">
      <w:pPr>
        <w:pBdr>
          <w:top w:color="auto" w:space="0" w:sz="0" w:val="none"/>
          <w:left w:color="auto" w:space="0" w:sz="0" w:val="none"/>
          <w:bottom w:color="auto" w:space="14" w:sz="0" w:val="none"/>
          <w:right w:color="auto" w:space="0" w:sz="0" w:val="none"/>
        </w:pBdr>
        <w:shd w:fill="ffffff" w:val="clear"/>
        <w:spacing w:after="0" w:line="360" w:lineRule="auto"/>
        <w:ind w:firstLine="72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7D">
      <w:pPr>
        <w:shd w:fill="ffffff" w:val="clear"/>
        <w:spacing w:after="220" w:line="360" w:lineRule="auto"/>
        <w:ind w:left="0"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highlight w:val="white"/>
        </w:rPr>
      </w:pPr>
      <w:r w:rsidDel="00000000" w:rsidR="00000000" w:rsidRPr="00000000">
        <w:rPr>
          <w:highlight w:val="white"/>
          <w:rtl w:val="0"/>
        </w:rPr>
        <w:t xml:space="preserve">atendimento integral multidisciplinar e, acima de tudo, atenção humanizada. O Núcleo atende mulheres e homens; crianças, adolescentes, adultos e idosos.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highlight w:val="white"/>
        </w:rPr>
      </w:pPr>
      <w:r w:rsidDel="00000000" w:rsidR="00000000" w:rsidRPr="00000000">
        <w:rPr>
          <w:highlight w:val="white"/>
          <w:rtl w:val="0"/>
        </w:rPr>
        <w:t xml:space="preserve">Hospital, o que confere ao atendimento um caráter integral e, em simultâneo, especializado e humanizado.</w:t>
      </w:r>
    </w:p>
    <w:p w:rsidR="00000000" w:rsidDel="00000000" w:rsidP="00000000" w:rsidRDefault="00000000" w:rsidRPr="00000000" w14:paraId="00000082">
      <w:pPr>
        <w:shd w:fill="ffffff" w:val="clear"/>
        <w:spacing w:after="220" w:line="360" w:lineRule="auto"/>
        <w:jc w:val="both"/>
        <w:rPr>
          <w:b w:val="1"/>
        </w:rPr>
      </w:pPr>
      <w:r w:rsidDel="00000000" w:rsidR="00000000" w:rsidRPr="00000000">
        <w:rPr>
          <w:b w:val="1"/>
          <w:rtl w:val="0"/>
        </w:rPr>
        <w:t xml:space="preserve">5 Forças de Porter</w:t>
      </w:r>
    </w:p>
    <w:p w:rsidR="00000000" w:rsidDel="00000000" w:rsidP="00000000" w:rsidRDefault="00000000" w:rsidRPr="00000000" w14:paraId="00000083">
      <w:pPr>
        <w:shd w:fill="ffffff" w:val="clear"/>
        <w:spacing w:after="220" w:line="360" w:lineRule="auto"/>
        <w:ind w:firstLine="720"/>
        <w:jc w:val="both"/>
        <w:rPr>
          <w:highlight w:val="white"/>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b w:val="1"/>
          <w:highlight w:val="white"/>
        </w:rPr>
      </w:pPr>
      <w:r w:rsidDel="00000000" w:rsidR="00000000" w:rsidRPr="00000000">
        <w:rPr>
          <w:highlight w:val="white"/>
          <w:rtl w:val="0"/>
        </w:rPr>
        <w:t xml:space="preserve">Tendo em vista que o ICESP é um hospital referência no tratamento de câncer de mama, ocorre que há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grande quantidade,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Poder de barganha dos compradores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sz w:val="2"/>
          <w:szCs w:val="2"/>
          <w:highlight w:val="white"/>
        </w:rPr>
      </w:pPr>
      <w:r w:rsidDel="00000000" w:rsidR="00000000" w:rsidRPr="00000000">
        <w:rPr>
          <w:highlight w:val="white"/>
          <w:rtl w:val="0"/>
        </w:rPr>
        <w:t xml:space="preserve">O poder de barganha dos compradores é baixo devido à alta demanda dos serviços oferecidos, pelo fato de ser um órgão público de referência na área e possuir infraestrutura para lidar com os casos mais graves de câncer, além dos estudos feitos na área de pesquisa relacionada ao hospital.</w:t>
      </w: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720"/>
        <w:jc w:val="both"/>
        <w:rPr>
          <w:highlight w:val="white"/>
        </w:rPr>
      </w:pPr>
      <w:r w:rsidDel="00000000" w:rsidR="00000000" w:rsidRPr="00000000">
        <w:rPr>
          <w:highlight w:val="white"/>
          <w:rtl w:val="0"/>
        </w:rPr>
        <w:t xml:space="preserve">Podemos considerar que a ameaça de novos entrantes como outros hospitais públicos se qualificarem se tornando referência no tratamento do câncer, fazendo com que o investimento seja reduzido para o ICESP ou que novos hospitais particulares possam surgir e relativamente baixa, pois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0"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firstLine="720"/>
        <w:jc w:val="both"/>
        <w:rPr/>
      </w:pPr>
      <w:r w:rsidDel="00000000" w:rsidR="00000000" w:rsidRPr="00000000">
        <w:rPr>
          <w:highlight w:val="white"/>
          <w:rtl w:val="0"/>
        </w:rPr>
        <w:t xml:space="preserve">Podemos considerar baixo a ameaça de novos entrantes por se tratar de um assunto muito complexo ao qual demanda muito estudo, pesquisa e investimento, sendo assim, a probabilidade de surgir um novo tratamento como uma possível vacina ou algo nesse sentido é relativamente baixa.</w:t>
      </w:r>
      <w:r w:rsidDel="00000000" w:rsidR="00000000" w:rsidRPr="00000000">
        <w:rPr>
          <w:rtl w:val="0"/>
        </w:rPr>
      </w:r>
    </w:p>
    <w:p w:rsidR="00000000" w:rsidDel="00000000" w:rsidP="00000000" w:rsidRDefault="00000000" w:rsidRPr="00000000" w14:paraId="0000008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i w:val="1"/>
          <w:color w:val="b7b7b7"/>
        </w:rPr>
        <w:drawing>
          <wp:inline distB="114300" distT="114300" distL="114300" distR="114300">
            <wp:extent cx="5356473" cy="3939800"/>
            <wp:effectExtent b="0" l="0" r="0" t="0"/>
            <wp:docPr id="27" name="image7.png"/>
            <a:graphic>
              <a:graphicData uri="http://schemas.openxmlformats.org/drawingml/2006/picture">
                <pic:pic>
                  <pic:nvPicPr>
                    <pic:cNvPr id="0" name="image7.png"/>
                    <pic:cNvPicPr preferRelativeResize="0"/>
                  </pic:nvPicPr>
                  <pic:blipFill>
                    <a:blip r:embed="rId19"/>
                    <a:srcRect b="4354" l="4874" r="4112" t="5523"/>
                    <a:stretch>
                      <a:fillRect/>
                    </a:stretch>
                  </pic:blipFill>
                  <pic:spPr>
                    <a:xfrm>
                      <a:off x="0" y="0"/>
                      <a:ext cx="5356473" cy="3939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1:</w:t>
      </w:r>
      <w:r w:rsidDel="00000000" w:rsidR="00000000" w:rsidRPr="00000000">
        <w:rPr>
          <w:rtl w:val="0"/>
        </w:rPr>
        <w:t xml:space="preserve"> Canva análise SWOT</w:t>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3.1) Qual é o problema a ser resolvido</w:t>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Como solução, desenvolvemos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solução proposta traz como benefício principal o auxílio ao médico responsável por definir qual tratamento a paciente deverá seguir mais rapidamente e com maior assertividade e um possível impacto na cura da paciente, além de um melhor aproveitamento dos dados disponíveis.</w:t>
      </w:r>
      <w:r w:rsidDel="00000000" w:rsidR="00000000" w:rsidRPr="00000000">
        <w:rPr>
          <w:rtl w:val="0"/>
        </w:rPr>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já confirmados como melhor tratamento.</w:t>
      </w:r>
      <w:r w:rsidDel="00000000" w:rsidR="00000000" w:rsidRPr="00000000">
        <w:rPr>
          <w:rtl w:val="0"/>
        </w:rPr>
      </w:r>
    </w:p>
    <w:p w:rsidR="00000000" w:rsidDel="00000000" w:rsidP="00000000" w:rsidRDefault="00000000" w:rsidRPr="00000000" w14:paraId="0000009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i w:val="1"/>
          <w:color w:val="b7b7b7"/>
        </w:rPr>
        <w:drawing>
          <wp:inline distB="114300" distT="114300" distL="114300" distR="114300">
            <wp:extent cx="5094923" cy="3549806"/>
            <wp:effectExtent b="0" l="0" r="0" t="0"/>
            <wp:docPr id="28" name="image11.png"/>
            <a:graphic>
              <a:graphicData uri="http://schemas.openxmlformats.org/drawingml/2006/picture">
                <pic:pic>
                  <pic:nvPicPr>
                    <pic:cNvPr id="0" name="image11.png"/>
                    <pic:cNvPicPr preferRelativeResize="0"/>
                  </pic:nvPicPr>
                  <pic:blipFill>
                    <a:blip r:embed="rId20"/>
                    <a:srcRect b="13743" l="0" r="0" t="16572"/>
                    <a:stretch>
                      <a:fillRect/>
                    </a:stretch>
                  </pic:blipFill>
                  <pic:spPr>
                    <a:xfrm>
                      <a:off x="0" y="0"/>
                      <a:ext cx="5094923" cy="354980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2: </w:t>
      </w:r>
      <w:r w:rsidDel="00000000" w:rsidR="00000000" w:rsidRPr="00000000">
        <w:rPr>
          <w:rtl w:val="0"/>
        </w:rPr>
        <w:t xml:space="preserve">Value Proposition Canvas.</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0A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rtl w:val="0"/>
        </w:rPr>
        <w:t xml:space="preserve">Fonte:</w:t>
      </w:r>
      <w:r w:rsidDel="00000000" w:rsidR="00000000" w:rsidRPr="00000000">
        <w:rPr>
          <w:rtl w:val="0"/>
        </w:rPr>
        <w:t xml:space="preserve"> Desenvolvido pelo próprio grupo através do Excel </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drawing>
          <wp:inline distB="114300" distT="114300" distL="114300" distR="114300">
            <wp:extent cx="6119820" cy="1651000"/>
            <wp:effectExtent b="0" l="0" r="0" t="0"/>
            <wp:docPr id="3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1982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b w:val="1"/>
          <w:rtl w:val="0"/>
        </w:rPr>
        <w:t xml:space="preserve">Imagem 3: </w:t>
      </w:r>
      <w:r w:rsidDel="00000000" w:rsidR="00000000" w:rsidRPr="00000000">
        <w:rPr>
          <w:rtl w:val="0"/>
        </w:rPr>
        <w:t xml:space="preserve">Matriz de risco.</w:t>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A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19"/>
      <w:bookmarkEnd w:id="19"/>
      <w:r w:rsidDel="00000000" w:rsidR="00000000" w:rsidRPr="00000000">
        <w:rPr>
          <w:rtl w:val="0"/>
        </w:rPr>
      </w:r>
    </w:p>
    <w:p w:rsidR="00000000" w:rsidDel="00000000" w:rsidP="00000000" w:rsidRDefault="00000000" w:rsidRPr="00000000" w14:paraId="000000A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0"/>
      <w:bookmarkEnd w:id="20"/>
      <w:r w:rsidDel="00000000" w:rsidR="00000000" w:rsidRPr="00000000">
        <w:rPr>
          <w:rtl w:val="0"/>
        </w:rPr>
      </w:r>
    </w:p>
    <w:p w:rsidR="00000000" w:rsidDel="00000000" w:rsidP="00000000" w:rsidRDefault="00000000" w:rsidRPr="00000000" w14:paraId="000000A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1"/>
      <w:bookmarkEnd w:id="21"/>
      <w:r w:rsidDel="00000000" w:rsidR="00000000" w:rsidRPr="00000000">
        <w:rPr>
          <w:rtl w:val="0"/>
        </w:rPr>
        <w:t xml:space="preserve">4.1.6. Personas</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Marco Aurélio - utiliza o modelo</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2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4:</w:t>
      </w:r>
      <w:r w:rsidDel="00000000" w:rsidR="00000000" w:rsidRPr="00000000">
        <w:rPr>
          <w:rtl w:val="0"/>
        </w:rPr>
        <w:t xml:space="preserve"> Persona 1.</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Maria Helena - Afetada pelo modelo</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3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5:</w:t>
      </w:r>
      <w:r w:rsidDel="00000000" w:rsidR="00000000" w:rsidRPr="00000000">
        <w:rPr>
          <w:rtl w:val="0"/>
        </w:rPr>
        <w:t xml:space="preserve"> Persona 2.</w:t>
      </w:r>
    </w:p>
    <w:p w:rsidR="00000000" w:rsidDel="00000000" w:rsidP="00000000" w:rsidRDefault="00000000" w:rsidRPr="00000000" w14:paraId="000000B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z337ya" w:id="22"/>
      <w:bookmarkEnd w:id="22"/>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tab/>
        <w:t xml:space="preserve">“</w:t>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 sentimentos, pensamentos e expectativas do usuário.</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 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por falta de tratamento de dados e um modelo fidedigno. </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5421150" cy="3044255"/>
            <wp:effectExtent b="0" l="0" r="0" t="0"/>
            <wp:docPr id="3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21150" cy="304425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6: </w:t>
      </w:r>
      <w:r w:rsidDel="00000000" w:rsidR="00000000" w:rsidRPr="00000000">
        <w:rPr>
          <w:rtl w:val="0"/>
        </w:rPr>
        <w:t xml:space="preserve">Jornada do usuário.</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Fontes: </w:t>
      </w:r>
      <w:r w:rsidDel="00000000" w:rsidR="00000000" w:rsidRPr="00000000">
        <w:rPr>
          <w:rtl w:val="0"/>
        </w:rPr>
        <w:t xml:space="preserve">Desenvolvido pelo próprio grupo através do canva.com</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através de pesquisas quantitativas sobre a experiência do usuário com o modelo.</w:t>
      </w:r>
    </w:p>
    <w:p w:rsidR="00000000" w:rsidDel="00000000" w:rsidP="00000000" w:rsidRDefault="00000000" w:rsidRPr="00000000" w14:paraId="000000B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3"/>
      <w:bookmarkEnd w:id="23"/>
      <w:r w:rsidDel="00000000" w:rsidR="00000000" w:rsidRPr="00000000">
        <w:rPr>
          <w:rtl w:val="0"/>
        </w:rPr>
        <w:t xml:space="preserve">4.2. Compreensão dos Dados</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1. Exploração de dados:</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Apresentar a estatística descritiva básica de cada coluna, identificação se a coluna é numérica ou categórica e pelo menos 3 gráficos para visualizar a relação entre variáveis escolhidas pelo grupo.</w:t>
      </w:r>
    </w:p>
    <w:p w:rsidR="00000000" w:rsidDel="00000000" w:rsidP="00000000" w:rsidRDefault="00000000" w:rsidRPr="00000000" w14:paraId="000000C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r w:rsidDel="00000000" w:rsidR="00000000" w:rsidRPr="00000000">
        <w:rPr>
          <w:rtl w:val="0"/>
        </w:rPr>
      </w:r>
    </w:p>
    <w:p w:rsidR="00000000" w:rsidDel="00000000" w:rsidP="00000000" w:rsidRDefault="00000000" w:rsidRPr="00000000" w14:paraId="000000C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2. Pré-processamento dos dados:</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i w:val="1"/>
          <w:color w:val="b7b7b7"/>
        </w:rPr>
      </w:pPr>
      <w:r w:rsidDel="00000000" w:rsidR="00000000" w:rsidRPr="00000000">
        <w:rPr>
          <w:i w:val="1"/>
          <w:color w:val="b7b7b7"/>
          <w:rtl w:val="0"/>
        </w:rPr>
        <w:t xml:space="preserve">Realizar a limpeza (tratamento de missings e remoção de outliers) e transformação (normalização e codificação) das colunas.</w:t>
      </w:r>
    </w:p>
    <w:p w:rsidR="00000000" w:rsidDel="00000000" w:rsidP="00000000" w:rsidRDefault="00000000" w:rsidRPr="00000000" w14:paraId="000000C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r w:rsidDel="00000000" w:rsidR="00000000" w:rsidRPr="00000000">
        <w:rPr>
          <w:rtl w:val="0"/>
        </w:rPr>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3. Hipóteses:</w:t>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Três hipóteses sobre a relação dos dados e o problema.</w:t>
      </w:r>
    </w:p>
    <w:p w:rsidR="00000000" w:rsidDel="00000000" w:rsidP="00000000" w:rsidRDefault="00000000" w:rsidRPr="00000000" w14:paraId="000000C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r w:rsidDel="00000000" w:rsidR="00000000" w:rsidRPr="00000000">
        <w:rPr>
          <w:rtl w:val="0"/>
        </w:rPr>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4"/>
      <w:bookmarkEnd w:id="24"/>
      <w:r w:rsidDel="00000000" w:rsidR="00000000" w:rsidRPr="00000000">
        <w:rPr>
          <w:rtl w:val="0"/>
        </w:rPr>
        <w:t xml:space="preserve">4.3. Preparação dos Dados e Modelagem</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5"/>
      <w:bookmarkEnd w:id="25"/>
      <w:r w:rsidDel="00000000" w:rsidR="00000000" w:rsidRPr="00000000">
        <w:rPr>
          <w:rtl w:val="0"/>
        </w:rPr>
        <w:t xml:space="preserve">4.4. Comparação de Modelos</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6"/>
      <w:bookmarkEnd w:id="26"/>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7"/>
      <w:bookmarkEnd w:id="27"/>
      <w:r w:rsidDel="00000000" w:rsidR="00000000" w:rsidRPr="00000000">
        <w:rPr>
          <w:rtl w:val="0"/>
        </w:rPr>
        <w:t xml:space="preserve">4.5. Avaliação</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8"/>
      <w:bookmarkEnd w:id="28"/>
      <w:r w:rsidDel="00000000" w:rsidR="00000000" w:rsidRPr="00000000">
        <w:rPr>
          <w:rtl w:val="0"/>
        </w:rPr>
        <w:t xml:space="preserve">5. Conclusões e Recomendações</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9"/>
      <w:bookmarkEnd w:id="29"/>
      <w:r w:rsidDel="00000000" w:rsidR="00000000" w:rsidRPr="00000000">
        <w:rPr>
          <w:rtl w:val="0"/>
        </w:rPr>
        <w:t xml:space="preserve">6. Referências</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hyperlink r:id="rId25">
        <w:r w:rsidDel="00000000" w:rsidR="00000000" w:rsidRPr="00000000">
          <w:rPr>
            <w:i w:val="1"/>
            <w:color w:val="1155cc"/>
            <w:u w:val="single"/>
            <w:rtl w:val="0"/>
          </w:rPr>
          <w:t xml:space="preserve">https://www.nngroup.com/articles/journey-mapping-101/</w:t>
        </w:r>
      </w:hyperlink>
      <w:r w:rsidDel="00000000" w:rsidR="00000000" w:rsidRPr="00000000">
        <w:rPr>
          <w:i w:val="1"/>
          <w:color w:val="b7b7b7"/>
          <w:rtl w:val="0"/>
        </w:rPr>
        <w:t xml:space="preserve">  (Referência 4.1.7)</w:t>
      </w:r>
      <w:r w:rsidDel="00000000" w:rsidR="00000000" w:rsidRPr="00000000">
        <w:rPr>
          <w:rtl w:val="0"/>
        </w:rPr>
      </w:r>
    </w:p>
    <w:p w:rsidR="00000000" w:rsidDel="00000000" w:rsidP="00000000" w:rsidRDefault="00000000" w:rsidRPr="00000000" w14:paraId="000000F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0"/>
      <w:bookmarkEnd w:id="30"/>
      <w:r w:rsidDel="00000000" w:rsidR="00000000" w:rsidRPr="00000000">
        <w:rPr>
          <w:rtl w:val="0"/>
        </w:rPr>
        <w:t xml:space="preserve">Anexos</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26" w:type="default"/>
      <w:headerReference r:id="rId27" w:type="first"/>
      <w:headerReference r:id="rId28" w:type="even"/>
      <w:footerReference r:id="rId29" w:type="default"/>
      <w:footerReference r:id="rId30" w:type="first"/>
      <w:footerReference r:id="rId31"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3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34"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2.xml"/><Relationship Id="rId25" Type="http://schemas.openxmlformats.org/officeDocument/2006/relationships/hyperlink" Target="https://www.nngroup.com/articles/journey-mapping-101/" TargetMode="External"/><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4.png"/><Relationship Id="rId31" Type="http://schemas.openxmlformats.org/officeDocument/2006/relationships/footer" Target="footer2.xml"/><Relationship Id="rId30" Type="http://schemas.openxmlformats.org/officeDocument/2006/relationships/footer" Target="footer3.xml"/><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hyperlink" Target="https://pt.wikipedia.org/wiki/Hospital" TargetMode="External"/><Relationship Id="rId12" Type="http://schemas.openxmlformats.org/officeDocument/2006/relationships/image" Target="media/image3.png"/><Relationship Id="rId15" Type="http://schemas.openxmlformats.org/officeDocument/2006/relationships/hyperlink" Target="https://pt.wikipedia.org/wiki/Morumbi_(S%C3%A3o_Paulo)" TargetMode="External"/><Relationship Id="rId14" Type="http://schemas.openxmlformats.org/officeDocument/2006/relationships/hyperlink" Target="https://pt.wikipedia.org/wiki/Brasil" TargetMode="External"/><Relationship Id="rId17" Type="http://schemas.openxmlformats.org/officeDocument/2006/relationships/hyperlink" Target="https://pt.wikipedia.org/wiki/S%C3%A3o_Paulo" TargetMode="External"/><Relationship Id="rId16" Type="http://schemas.openxmlformats.org/officeDocument/2006/relationships/hyperlink" Target="https://pt.wikipedia.org/wiki/Zona_Sul_de_S%C3%A3o_Paulo" TargetMode="External"/><Relationship Id="rId19" Type="http://schemas.openxmlformats.org/officeDocument/2006/relationships/image" Target="media/image7.png"/><Relationship Id="rId18" Type="http://schemas.openxmlformats.org/officeDocument/2006/relationships/hyperlink" Target="https://www.einstein.br/especialidades/oncolog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KArUTcbVuf3U5wUVqIiSxF204A==">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