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55E089">
      <w:pPr>
        <w:spacing w:line="240" w:lineRule="auto"/>
        <w:rPr>
          <w:rFonts w:hint="default" w:ascii="宋体" w:hAnsi="宋体" w:eastAsia="宋体" w:cs="宋体"/>
          <w:b/>
          <w:bCs/>
          <w:i w:val="0"/>
          <w:iCs w:val="0"/>
          <w:caps w:val="0"/>
          <w:color w:val="1F2329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1F2329"/>
          <w:spacing w:val="0"/>
          <w:sz w:val="21"/>
          <w:szCs w:val="21"/>
          <w:shd w:val="clear" w:fill="FFFFFF"/>
          <w:lang w:val="en-US" w:eastAsia="zh-CN"/>
        </w:rPr>
        <w:t>一、基本概念</w:t>
      </w:r>
    </w:p>
    <w:p w14:paraId="5618DAD6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1. 证券类型：量化交易的标的，核心包括股票（A股/美股等）、期货（商品/金融期货）、期权、ETF（交易型开放式指数基金）、数字货币（部分场景），不同标的规则（如涨跌幅、交割机制）直接影响策略设计。 </w:t>
      </w:r>
    </w:p>
    <w:p w14:paraId="031CEF14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07EC4D6B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2. 交易时间与规则：市场运行的“游戏规则”，如A股的T+1交割、涨跌停限制（10%/20%）、集合竞价（开盘/收盘），美股的T+0、无涨跌幅限制，规则差异决定策略能否落地。 </w:t>
      </w:r>
    </w:p>
    <w:p w14:paraId="3DDA002D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149D823B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3. 市场指数：衡量市场整体走势的基准，如A股的沪深300（大盘蓝筹）、中证500（中小盘），美股的标普500、纳斯达克100，策略收益需与指数对比判断“是否跑赢市场”。 </w:t>
      </w:r>
    </w:p>
    <w:p w14:paraId="0225C785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7AFD5FF6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4. 多空机制：交易的核心操作方向，“多头”是先买后卖（看涨），“空头”是先卖后买（看跌，需开通融券/期货做空权限），量化策略常通过多空对冲降低市场风险。 </w:t>
      </w:r>
    </w:p>
    <w:p w14:paraId="04AD2846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5DFD19B9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5. 手续费与滑点：实际交易的“成本损耗”，手续费（券商佣金+印花税+交易所规费）是固定成本，滑点是“预期成交价与实际成交价的差额”（如订单大导致价格被推高），两者直接影响策略实际收益（回测时必须计入）。 </w:t>
      </w:r>
    </w:p>
    <w:p w14:paraId="5A33EE38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4DB71ADF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### 二、数据与因子基础（量化的“原料”，策略的核心） </w:t>
      </w:r>
    </w:p>
    <w:p w14:paraId="0729EC04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130077DA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6. 行情数据：量化分析的基础数据，包括“Tick级数据”（每秒多次的实时报价，如买一卖一、成交量）、“K线数据”（按时间聚合，如1分钟/5分钟/日K，包含开盘价、收盘价、最高价、最低价、成交量）。 </w:t>
      </w:r>
    </w:p>
    <w:p w14:paraId="5B3764E9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5208A733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7. 财务数据：上市公司的基本面信息，如净利润、营收、资产负债率、ROE（净资产收益率）、PE（市盈率）、PB（市净率），是“基本面量化策略”的核心输入。 </w:t>
      </w:r>
    </w:p>
    <w:p w14:paraId="4F854932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495CAB09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8. 因子（Factor）：量化策略的“核心信号源”，指能预测资产未来收益的“特征指标”，是入门量化的关键概念。常见因子如动量因子（过去涨得多的未来可能继续涨）、价值因子（PE/PB低的股票被低估）、质量因子（ROE高的公司质量好）。 </w:t>
      </w:r>
    </w:p>
    <w:p w14:paraId="6FE28927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1E47ED7C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9. 因子回测：验证因子有效性的过程，即“用历史数据检验因子是否能持续选出赚钱的资产”，需计算因子的“IC值”（信息系数，衡量因子与未来收益的相关性）、“分层收益”（按因子值分组，看高因子组是否跑赢低因子组）。 </w:t>
      </w:r>
    </w:p>
    <w:p w14:paraId="645D9DEE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1BA294D3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10. 数据清洗：处理原始数据的“脏数据”，如缺失值（某时刻行情未记录）、异常值（如股价突然暴涨100倍的错误数据）、复权数据（除权除息后需调整股价，确保历史价格可比，如前复权/后复权），数据不干净会导致回测结果失真。 </w:t>
      </w:r>
    </w:p>
    <w:p w14:paraId="187D34D0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08ABA1C9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11. 技术指标因子：从行情数据衍生的因子，基于“技术分析逻辑”，如MA（移动平均线，如5日均线/20日均线）、RSI（相对强弱指数，判断超买超卖）、MACD（指数平滑异同平均线，判断趋势转折）、布林带（衡量价格波动范围），是“技术面量化策略”的基础。 </w:t>
      </w:r>
    </w:p>
    <w:p w14:paraId="348BF0F6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4B4CA0E8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>12. 量价因子：结合“成交量”与“价格”的因子，如成交量增长率（量价齐升可能延续趋势）、换手率（股票活跃度，换手率高流动性好）、振幅（价格波动幅度，高振幅可能有套利机会），是最常用的高频/中高频策略因子。</w:t>
      </w:r>
    </w:p>
    <w:p w14:paraId="5738848E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401E6155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三、策略与模型基础（量化的“算法框架”） </w:t>
      </w:r>
    </w:p>
    <w:p w14:paraId="1DD72D29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13. 被动型策略：不主动预测市场，跟踪指数的策略，如“指数基金定投”“ETF套利”（当ETF二级市场价格与净值偏离时买卖套利），入门级策略，风险低、实现简单。 </w:t>
      </w:r>
    </w:p>
    <w:p w14:paraId="69163309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47BD11B7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14. 主动型策略：主动预测市场并筛选资产，核心目标是“跑赢指数”，如因子选股策略（用动量/价值因子选股票）、行业轮动策略（预测哪个行业未来会涨，集中配置）、统计套利策略（找价格相关的资产，当价差偏离时多空对冲）。 </w:t>
      </w:r>
    </w:p>
    <w:p w14:paraId="54256BC2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6CC043B5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15. 均值回归策略：基于“价格会回归均值”的逻辑，如“配对交易”（选两只历史价格高度相关的股票，当价差扩大时，做空涨得多的、做多跌得多的，等价差缩小后平仓获利），是经典的低风险套利策略。 </w:t>
      </w:r>
    </w:p>
    <w:p w14:paraId="69741864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0E5C2D39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16. 动量策略：基于“趋势延续”的逻辑，如“50日动量策略”（买入过去50天涨幅前10%的股票，持有20天后调仓），核心假设是“强者恒强”，适合趋势明显的市场（如牛市）。 </w:t>
      </w:r>
    </w:p>
    <w:p w14:paraId="1D668B95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0799E6F5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17. 多因子策略：融合多个因子的策略，如“动量+价值+质量三因子模型”，通过加权多个有效因子降低单一因子的风险（避免某因子失效导致策略亏损），是机构量化最主流的策略框架（如巴菲特的护城河策略本质是多因子）。 </w:t>
      </w:r>
    </w:p>
    <w:p w14:paraId="572450B4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39933203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18. 机器学习模型：用算法挖掘数据中的非线性规律，入门级模型如线性回归（预测股价）、逻辑回归（判断涨跌方向）、决策树/随机森林（处理多因子非线性关系），进阶模型如LSTM（处理时序数据，如Tick级行情），需结合因子工程使用（避免“过拟合”）。 </w:t>
      </w:r>
    </w:p>
    <w:p w14:paraId="4747AEF9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11DA957B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19. 过拟合（Overfitting）：量化入门的“致命陷阱”，指模型在历史数据上表现极好，但在实盘上亏损，原因是“过度拟合历史噪声”（如为了贴合某段行情加入过多无关因子），回测时需用“样本外测试”（用未参与训练的历史数据验证）、“交叉验证”避免。 ### 四、回测与执行基础（从“纸上谈兵”到“实盘落地”） </w:t>
      </w:r>
    </w:p>
    <w:p w14:paraId="2B445F40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19DF224F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20. 回测（Backtesting）：用历史数据检验策略有效性的过程，核心是“模拟过去的交易”，计算策略的收益（如年化收益率）、风险（如最大回撤）、风险收益比（如夏普比率），是量化策略的“必经环节”（回测不赚钱的策略绝对不能实盘）。 </w:t>
      </w:r>
    </w:p>
    <w:p w14:paraId="6D97AA15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052547AE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21. 回测框架：实现回测的工具，入门级工具如Python的`Backtrader`（开源、灵活，适合写简单策略）、`Zipline`（Quantopian开源框架，支持多因子），进阶工具如`vn.py`（国内常用，支持实盘对接）、MATLAB的Financial Toolbox，需掌握框架的“订单逻辑”（如市价单/限价单）、“仓位管理”。 </w:t>
      </w:r>
    </w:p>
    <w:p w14:paraId="423CB2A4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2AA7BDC7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22. 年化收益率（Annualized Return）：衡量策略收益的核心指标，将回测期间的总收益换算为“每年的平均收益”（如回测2年总收益40%，年化收益率约18.3%），需与市场指数（如沪深300年化5%）对比，判断收益是否有“超额收益”。 </w:t>
      </w:r>
    </w:p>
    <w:p w14:paraId="3E0E9AD4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1D4A5633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23. 最大回撤（Maximum Drawdown）：衡量策略风险的核心指标，指策略从历史最高点到最低点的“最大亏损比例”（如最大回撤20%，即从100万亏到80万），回撤越小，策略抗风险能力越强（一般要求最大回撤不超过30%）。 </w:t>
      </w:r>
    </w:p>
    <w:p w14:paraId="6991D66E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5859D8CC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24. 夏普比率（Sharpe Ratio）：衡量“风险调整后收益”的指标，公式为“（策略年化收益率-无风险利率）/策略年化波动率”，无风险利率通常用国债收益率（如3%），夏普比率&gt;1说明策略收益能覆盖风险，&gt;2为优秀策略。 </w:t>
      </w:r>
    </w:p>
    <w:p w14:paraId="7C014780">
      <w:pPr>
        <w:widowControl w:val="0"/>
        <w:spacing w:line="240" w:lineRule="auto"/>
        <w:ind w:firstLine="420" w:firstLineChars="0"/>
        <w:jc w:val="both"/>
        <w:rPr>
          <w:rFonts w:hint="default" w:ascii="宋体" w:hAnsi="宋体" w:eastAsia="宋体" w:cs="宋体"/>
          <w:i w:val="0"/>
          <w:iCs w:val="0"/>
          <w:caps w:val="0"/>
          <w:color w:val="1F2329"/>
          <w:spacing w:val="0"/>
          <w:kern w:val="2"/>
          <w:sz w:val="21"/>
          <w:szCs w:val="21"/>
          <w:shd w:val="clear" w:fill="FFFFFF"/>
          <w:lang w:val="en-US" w:eastAsia="zh-CN" w:bidi="ar-SA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kern w:val="2"/>
          <w:sz w:val="21"/>
          <w:szCs w:val="21"/>
          <w:shd w:val="clear" w:fill="FFFFFF"/>
          <w:lang w:val="en-US" w:eastAsia="zh-CN" w:bidi="ar-SA"/>
        </w:rPr>
        <w:t>年化波动率的计算逻辑是：先算出</w:t>
      </w:r>
      <w:r>
        <w:rPr>
          <w:rFonts w:hint="default" w:ascii="宋体" w:hAnsi="宋体" w:eastAsia="宋体" w:cs="宋体"/>
          <w:i w:val="0"/>
          <w:iCs w:val="0"/>
          <w:caps w:val="0"/>
          <w:color w:val="1F2329"/>
          <w:spacing w:val="0"/>
          <w:kern w:val="2"/>
          <w:sz w:val="21"/>
          <w:szCs w:val="21"/>
          <w:shd w:val="clear" w:fill="FFFFFF"/>
          <w:lang w:val="en-US" w:eastAsia="zh-CN" w:bidi="ar-SA"/>
        </w:rPr>
        <w:t>日收益率的标准差（衡量短期波动），再通过 “时间尺度换算” 得到年化值</w:t>
      </w: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kern w:val="2"/>
          <w:sz w:val="21"/>
          <w:szCs w:val="21"/>
          <w:shd w:val="clear" w:fill="FFFFFF"/>
          <w:lang w:val="en-US" w:eastAsia="zh-CN" w:bidi="ar-SA"/>
        </w:rPr>
        <w:t>。</w:t>
      </w:r>
    </w:p>
    <w:p w14:paraId="06E2B93D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6C38BE7F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25. 实盘交易接口（API）：连接策略与券商/交易所的“桥梁”，国内需通过券商开通量化交易权限（如中信证券、华泰证券的API），国外如Interactive Brokers（IB）的API，接口支持“订单提交”“行情订阅”“账户查询”，需掌握接口的“请求频率限制”（避免被封禁）。 </w:t>
      </w:r>
    </w:p>
    <w:p w14:paraId="5148E703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18FC3849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26. 算法交易（Algorithmic Trading）：将策略逻辑转化为“自动交易指令”的过程，如“TWAP策略”（时间加权平均价格，将大订单拆分成小订单在全天均匀成交，减少滑点）、“VWAP策略”（成交量加权平均价格，在成交量大的时段多成交），是实盘降低交易成本的关键。 ### 五、风险与工具基础（量化的“安全垫”与“工具箱”） </w:t>
      </w:r>
    </w:p>
    <w:p w14:paraId="4CD67DDB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7246603A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27. 风险控制（Risk Management）：量化交易的“生命线”，核心措施包括仓位控制（如单只股票仓位不超过10%，总仓位不超过80%）、止损（如亏损5%强制平仓）、对冲（如持有股票时做空指数，抵消市场下跌风险），避免单一黑天鹅事件导致爆仓。 </w:t>
      </w:r>
    </w:p>
    <w:p w14:paraId="44C0CA96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563DB2A5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  <w:lang w:val="en-US" w:eastAsia="zh-CN"/>
        </w:rPr>
        <w:t>28</w:t>
      </w: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>. 流动性（Liquidity）：资产“能否快速买卖且不影响价格”的指标，如沪深300成分股流动性高（日均成交量大），小盘股流动性低（可能买不进/卖不出），量化策略需优先选择高流动性资产，避免“订单无法成交”或“滑点过大”。</w:t>
      </w:r>
    </w:p>
    <w:p w14:paraId="2F77AE9F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171CCB7E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0BA7DD90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38E43DF6">
      <w:pPr>
        <w:spacing w:line="240" w:lineRule="auto"/>
        <w:rPr>
          <w:rFonts w:hint="default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  <w:lang w:val="en-US" w:eastAsia="zh-CN"/>
        </w:rPr>
        <w:t>二、常见因子</w:t>
      </w:r>
    </w:p>
    <w:p w14:paraId="400B5877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1.动量因子（Momentum） </w:t>
      </w:r>
    </w:p>
    <w:p w14:paraId="2971F6C3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- 核心逻辑：“强者恒强”，即过去表现好的资产未来仍可能跑赢市场。 </w:t>
      </w:r>
    </w:p>
    <w:p w14:paraId="04FD3640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>- 常见计算：过去N天（如20天、60天、120天）的累计收益率，筛选涨幅居前的资产。</w:t>
      </w:r>
    </w:p>
    <w:p w14:paraId="42DB1BCC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 - 适用场景：趋势明显的市场（如牛市），是主动型策略最常用的因子之一。 </w:t>
      </w:r>
    </w:p>
    <w:p w14:paraId="5E71D5F1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4115843B">
      <w:pPr>
        <w:spacing w:line="240" w:lineRule="auto"/>
        <w:rPr>
          <w:rFonts w:hint="default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2.价值因子（Value） </w:t>
      </w: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  <w:lang w:val="en-US" w:eastAsia="zh-CN"/>
        </w:rPr>
        <w:t>基本面因子</w:t>
      </w:r>
      <w:bookmarkStart w:id="0" w:name="_GoBack"/>
      <w:bookmarkEnd w:id="0"/>
    </w:p>
    <w:p w14:paraId="64AFABA6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- 核心逻辑：价格低于内在价值的资产存在上涨空间，即“便宜股更可能上涨”。 </w:t>
      </w:r>
    </w:p>
    <w:p w14:paraId="5333336E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>- 常见计算：PE（市盈率，股价/每股收益）、PB（市净率，股价/每股净资产）、PS（市销率，股价/营收）的倒数（值越低越被低估）。</w:t>
      </w:r>
    </w:p>
    <w:p w14:paraId="4D8BCA10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- 代表策略：巴菲特的价值投资理念本质是价值因子的实践。 </w:t>
      </w:r>
    </w:p>
    <w:p w14:paraId="266D6E51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6CC426E8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3.质量因子（Quality） </w:t>
      </w:r>
    </w:p>
    <w:p w14:paraId="5B01ACEB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- 核心逻辑：公司基本面质量越高，长期收益越稳定。 </w:t>
      </w:r>
    </w:p>
    <w:p w14:paraId="12FC195D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- 常见计算：ROE（净资产收益率，衡量盈利效率）、净利润增长率（盈利稳定性）、资产负债率（财务健康度），筛选高ROE、低负债的公司。 </w:t>
      </w:r>
    </w:p>
    <w:p w14:paraId="322CBCEA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- 特点：抗跌性强，适合防御型策略。 </w:t>
      </w:r>
    </w:p>
    <w:p w14:paraId="2F03AB73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4AE0D48A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4.规模因子（Size） </w:t>
      </w:r>
    </w:p>
    <w:p w14:paraId="497754DF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- 核心逻辑：小盘股长期收益可能跑赢大盘股（“小盘股效应”）。 </w:t>
      </w:r>
    </w:p>
    <w:p w14:paraId="03875D8C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- 常见计算：公司市值（总市值=股价×总股本），筛选市值较小的股票（如中证500成分股对比沪深300）。 </w:t>
      </w:r>
    </w:p>
    <w:p w14:paraId="02EB5D99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- 注意：不同市场表现有差异（A股小盘效应较明显，美股近年大盘股表现更强）。 </w:t>
      </w:r>
    </w:p>
    <w:p w14:paraId="4609C6CB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5DA9A6BD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5.波动率因子（Volatility） </w:t>
      </w:r>
    </w:p>
    <w:p w14:paraId="033FF0F4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- 核心逻辑：低波动资产长期收益可能优于高波动资产（“低波动异象”）。 </w:t>
      </w:r>
    </w:p>
    <w:p w14:paraId="3100F330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- 常见计算：过去N天收益率的标准差（波动率），筛选波动较小的资产。 </w:t>
      </w:r>
    </w:p>
    <w:p w14:paraId="54E9ED26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- 适用场景：风险厌恶型策略，回撤更小，夏普比率更高。 </w:t>
      </w:r>
    </w:p>
    <w:p w14:paraId="5146A7F9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1F2462D0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6.流动性因子（Liquidity） </w:t>
      </w:r>
    </w:p>
    <w:p w14:paraId="79F9D4F9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- 核心逻辑：流动性高的资产交易成本低，更容易实现策略收益。 </w:t>
      </w:r>
    </w:p>
    <w:p w14:paraId="5E109A23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- 常见计算：换手率（日均成交量/流通股本）、Amihud非流动性指标（价格波动/成交量，值越低流动性越好）。 </w:t>
      </w:r>
    </w:p>
    <w:p w14:paraId="5F3DA87D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- 作用：避免因资产流动性不足导致的“买不进、卖不出”或滑点过大。 </w:t>
      </w:r>
    </w:p>
    <w:p w14:paraId="6BB348D5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1D53C1BB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7.股息因子（Dividend） </w:t>
      </w:r>
    </w:p>
    <w:p w14:paraId="2DE26D42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- 核心逻辑：高股息率的资产具有“安全垫”，适合长期持有。 </w:t>
      </w:r>
    </w:p>
    <w:p w14:paraId="2A74D075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- 常见计算：股息率（年度股息/股价），筛选连续分红且股息率高的股票（如银行股、公用事业股）。 </w:t>
      </w:r>
    </w:p>
    <w:p w14:paraId="58E59F67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- 特点：收益稳定，抗跌性强，适合防御型或红利策略。 </w:t>
      </w:r>
    </w:p>
    <w:p w14:paraId="3A0C5906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3FFBA618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8.均线因子（Moving Average） </w:t>
      </w:r>
    </w:p>
    <w:p w14:paraId="4D593E87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- 核心逻辑：股价沿趋势运动，均线可识别趋势方向。 </w:t>
      </w:r>
    </w:p>
    <w:p w14:paraId="3C23196A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- 常见计算：短期均线（如5日、20日）与长期均线（如60日、200日）的交叉（金叉/死叉），或股价在均线上方/下方的位置。 </w:t>
      </w:r>
    </w:p>
    <w:p w14:paraId="52ED416D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- 应用：技术面策略的核心因子（如“5日均线上穿20日均线”视为买入信号）。 </w:t>
      </w:r>
    </w:p>
    <w:p w14:paraId="208F2DC3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05F0AB0D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9.情绪因子（Sentiment） </w:t>
      </w:r>
    </w:p>
    <w:p w14:paraId="41B162F8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- 核心逻辑：市场情绪（贪婪/恐惧）会影响短期价格，极端情绪后可能反转。 </w:t>
      </w:r>
    </w:p>
    <w:p w14:paraId="08C096CA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- 常见计算：成交量变化率（放量/缩量）、融资融券余额（杠杆资金情绪）、期权隐含波动率（如VIX指数，衡量市场恐慌程度）。 </w:t>
      </w:r>
    </w:p>
    <w:p w14:paraId="11444109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- 适用场景：短期择时策略，捕捉情绪驱动的价格偏离。 </w:t>
      </w:r>
    </w:p>
    <w:p w14:paraId="796CC060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51AFF446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10.成长因子（Growth） </w:t>
      </w:r>
    </w:p>
    <w:p w14:paraId="4F6A2ACA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- 核心逻辑：高成长性公司（营收/利润快速增长）未来股价更可能上涨。 </w:t>
      </w:r>
    </w:p>
    <w:p w14:paraId="473EEF9C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- 常见计算：营收增长率、净利润增长率、PEG（市盈率相对盈利增长比率，PE/净利润增长率，值越低成长越被低估）。 </w:t>
      </w:r>
    </w:p>
    <w:p w14:paraId="4A666A17">
      <w:pPr>
        <w:spacing w:line="240" w:lineRule="auto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- 注意：需结合估值因子（如PEG）避免“高成长但高估值”的陷阱。 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BDD3C64"/>
    <w:rsid w:val="202D2CA9"/>
    <w:rsid w:val="346A286F"/>
    <w:rsid w:val="454B7135"/>
    <w:rsid w:val="62E21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4048</Words>
  <Characters>4483</Characters>
  <Lines>0</Lines>
  <Paragraphs>0</Paragraphs>
  <TotalTime>162</TotalTime>
  <ScaleCrop>false</ScaleCrop>
  <LinksUpToDate>false</LinksUpToDate>
  <CharactersWithSpaces>4623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2025-09-21T09:30:00Z</dcterms:created>
  <dc:creator>25191</dc:creator>
  <cp:lastModifiedBy>琛啊</cp:lastModifiedBy>
  <dcterms:modified xsi:type="dcterms:W3CDTF">2025-09-22T07:30:21Z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KSOTemplateDocerSaveRecord">
    <vt:lpwstr>eyJoZGlkIjoiMmU2MDBkYjVlYzkxZjdkMzRmZWNlNmU3MDVmYmQ2N2EiLCJ1c2VySWQiOiI2MjEyMzcxODUifQ==</vt:lpwstr>
  </property>
  <property fmtid="{D5CDD505-2E9C-101B-9397-08002B2CF9AE}" pid="4" name="ICV">
    <vt:lpwstr>91F15A9CC5E248409DDFCBE1AB0EE78F_12</vt:lpwstr>
  </property>
</Properties>
</file>