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3336" w:type="dxa"/>
        <w:jc w:val="center"/>
        <w:tblInd w:w="35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</w:tblGrid>
      <w:tr w14:paraId="2C18040A">
        <w:tblPrEx>
          <w:tblLayout w:type="fixed"/>
        </w:tblPrEx>
        <w:trPr>
          <w:trHeight w:val="480" w:hRule="atLeast"/>
        </w:trPr>
        <w:tc>
          <w:tcPr>
            <w:tcW w:w="3336" w:type="dxa"/>
            <w:tcBorders>
              <w:top w:val="nil"/>
              <w:left w:val="nil"/>
              <w:right w:val="nil"/>
            </w:tcBorders>
            <w:vAlign w:val="center"/>
          </w:tcPr>
          <w:p w14:paraId="242787CE">
            <w:pPr>
              <w:jc w:val="center"/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认知课《国庆节到了》</w:t>
            </w:r>
          </w:p>
        </w:tc>
      </w:tr>
    </w:tbl>
    <w:p w14:paraId="2C60EB3A">
      <w:pPr>
        <w:tabs>
          <w:tab w:val="right" w:leader="none" w:pos="8300"/>
        </w:tabs>
        <w:rPr>
          <w:rFonts w:ascii="Times New Roman" w:hAnsi="Times New Roman" w:hint="eastAsia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任课老师：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  <w:t xml:space="preserve">时间：2026年10月12日—10月16日</w:t>
      </w:r>
    </w:p>
    <w:tbl>
      <w:tblPr>
        <w:tblStyle w:val="3"/>
        <w:tblW w:w="10852" w:type="dxa"/>
        <w:tblInd w:w="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106"/>
        <w:gridCol w:w="1106"/>
        <w:gridCol w:w="971"/>
        <w:gridCol w:w="1291"/>
        <w:gridCol w:w="1291"/>
        <w:gridCol w:w="189"/>
        <w:gridCol w:w="1102"/>
        <w:gridCol w:w="441"/>
        <w:gridCol w:w="369"/>
        <w:gridCol w:w="369"/>
        <w:gridCol w:w="369"/>
        <w:gridCol w:w="369"/>
        <w:gridCol w:w="369"/>
        <w:gridCol w:w="369"/>
        <w:gridCol w:w="356"/>
      </w:tblGrid>
      <w:tr w14:paraId="37E2F3B1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restart"/>
            <w:vAlign w:val="top"/>
          </w:tcPr>
          <w:p w14:paraId="7FD02E9E">
            <w:pPr>
              <w:jc w:val="center"/>
              <w:rPr>
                <w:sz w:val="24"/>
                <w:szCs w:val="24"/>
              </w:rPr>
            </w:pPr>
          </w:p>
          <w:p w14:paraId="333844E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活动班级</w:t>
            </w:r>
          </w:p>
        </w:tc>
        <w:tc>
          <w:tcPr>
            <w:tcW w:w="1106" w:type="dxa"/>
            <w:vAlign w:val="center"/>
          </w:tcPr>
          <w:p w14:paraId="20CF3BB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106" w:type="dxa"/>
            <w:vAlign w:val="center"/>
          </w:tcPr>
          <w:p w14:paraId="2ADE2D4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年龄范围</w:t>
            </w:r>
          </w:p>
        </w:tc>
        <w:tc>
          <w:tcPr>
            <w:tcW w:w="971" w:type="dxa"/>
            <w:vAlign w:val="center"/>
          </w:tcPr>
          <w:p w14:paraId="568AB8E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人数</w:t>
            </w:r>
          </w:p>
        </w:tc>
        <w:tc>
          <w:tcPr>
            <w:tcW w:w="1291" w:type="dxa"/>
            <w:vAlign w:val="center"/>
          </w:tcPr>
          <w:p w14:paraId="739226D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轻度</w:t>
            </w:r>
          </w:p>
        </w:tc>
        <w:tc>
          <w:tcPr>
            <w:tcW w:w="1291" w:type="dxa"/>
            <w:vAlign w:val="center"/>
          </w:tcPr>
          <w:p w14:paraId="616FF9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中度</w:t>
            </w:r>
          </w:p>
        </w:tc>
        <w:tc>
          <w:tcPr>
            <w:tcW w:w="1291" w:type="dxa"/>
            <w:gridSpan w:val="2"/>
            <w:vAlign w:val="center"/>
          </w:tcPr>
          <w:p w14:paraId="3F8A19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重度</w:t>
            </w:r>
          </w:p>
        </w:tc>
        <w:tc>
          <w:tcPr>
            <w:tcW w:w="1179" w:type="dxa"/>
            <w:gridSpan w:val="3"/>
            <w:vAlign w:val="center"/>
          </w:tcPr>
          <w:p w14:paraId="5173EFE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多重障碍</w:t>
            </w:r>
          </w:p>
        </w:tc>
        <w:tc>
          <w:tcPr>
            <w:tcW w:w="1832" w:type="dxa"/>
            <w:gridSpan w:val="5"/>
            <w:vAlign w:val="center"/>
          </w:tcPr>
          <w:p w14:paraId="175F3A59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障碍</w:t>
            </w:r>
          </w:p>
          <w:p w14:paraId="05393AEB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</w:tr>
      <w:tr w14:paraId="72764F7B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continue"/>
            <w:vAlign w:val="top"/>
          </w:tcPr>
          <w:p w14:paraId="632F6A9B">
            <w:pPr>
              <w:rPr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2E840B9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闪电班</w:t>
            </w:r>
          </w:p>
        </w:tc>
        <w:tc>
          <w:tcPr>
            <w:tcW w:w="1106" w:type="dxa"/>
            <w:vAlign w:val="center"/>
          </w:tcPr>
          <w:p w14:paraId="214C1059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6—13</w:t>
            </w:r>
          </w:p>
        </w:tc>
        <w:tc>
          <w:tcPr>
            <w:tcW w:w="971" w:type="dxa"/>
            <w:vAlign w:val="center"/>
          </w:tcPr>
          <w:p w14:paraId="74718188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1291" w:type="dxa"/>
            <w:vAlign w:val="center"/>
          </w:tcPr>
          <w:p w14:paraId="07DB0EB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vAlign w:val="center"/>
          </w:tcPr>
          <w:p w14:paraId="5352434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gridSpan w:val="2"/>
            <w:vAlign w:val="center"/>
          </w:tcPr>
          <w:p w14:paraId="1C6E23F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179" w:type="dxa"/>
            <w:gridSpan w:val="3"/>
            <w:vAlign w:val="center"/>
          </w:tcPr>
          <w:p w14:paraId="1EFD166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832" w:type="dxa"/>
            <w:gridSpan w:val="5"/>
            <w:vAlign w:val="center"/>
          </w:tcPr>
          <w:p w14:paraId="17E0A22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智力障碍、自闭症   ★</w:t>
            </w:r>
          </w:p>
        </w:tc>
      </w:tr>
      <w:tr w14:paraId="4D7E5BCE">
        <w:tblPrEx>
          <w:tblLayout w:type="fixed"/>
        </w:tblPrEx>
        <w:trPr>
          <w:gridAfter w:val="1"/>
          <w:wAfter w:w="813" w:type="dxa"/>
          <w:trHeight w:val="1058" w:hRule="atLeast"/>
        </w:trPr>
        <w:tc>
          <w:tcPr>
            <w:tcW w:w="785" w:type="dxa"/>
            <w:vAlign w:val="top"/>
          </w:tcPr>
          <w:p w14:paraId="413F54FA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有益经验</w:t>
            </w:r>
          </w:p>
        </w:tc>
        <w:tc>
          <w:tcPr>
            <w:tcW w:w="10067" w:type="dxa"/>
            <w:gridSpan w:val="15"/>
            <w:vAlign w:val="top"/>
          </w:tcPr>
          <w:p w14:paraId="145E911A">
            <w:pPr>
              <w:numPr>
                <w:ilvl w:val="0"/>
                <w:numId w:val="0"/>
              </w:numP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  <w:t>1. 能说出国庆节的日期和庆祝方式。</w:t>
              <w:br/>
              <w:t xml:space="preserve">2. 能通过图片和实物认出常见的国庆节装饰物品。</w:t>
              <w:br/>
              <w:t xml:space="preserve">3. 能跟随指令完成简单的国庆节主题手工作业。</w:t>
            </w:r>
          </w:p>
        </w:tc>
      </w:tr>
      <w:tr w14:paraId="18A7184C">
        <w:tblPrEx>
          <w:tblLayout w:type="fixed"/>
        </w:tblPrEx>
        <w:trPr>
          <w:gridAfter w:val="1"/>
          <w:wAfter w:w="813" w:type="dxa"/>
          <w:trHeight w:val="865" w:hRule="atLeast"/>
        </w:trPr>
        <w:tc>
          <w:tcPr>
            <w:tcW w:w="785" w:type="dxa"/>
            <w:vAlign w:val="top"/>
          </w:tcPr>
          <w:p w14:paraId="4C29C883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材  料  准  备</w:t>
            </w:r>
          </w:p>
        </w:tc>
        <w:tc>
          <w:tcPr>
            <w:tcW w:w="10067" w:type="dxa"/>
            <w:gridSpan w:val="15"/>
            <w:vAlign w:val="top"/>
          </w:tcPr>
          <w:p w14:paraId="272F726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1.国旗图案模板纸若干张</w:t>
              <w:br/>
              <w:t xml:space="preserve">2.红、黄、蓝颜料盒</w:t>
              <w:br/>
              <w:t xml:space="preserve">3.画笔</w:t>
              <w:br/>
              <w:t xml:space="preserve">4.剪刀</w:t>
              <w:br/>
              <w:t xml:space="preserve">5.彩纸</w:t>
              <w:br/>
              <w:t xml:space="preserve">6.双面胶</w:t>
              <w:br/>
              <w:t xml:space="preserve">7.国庆节主题拼图</w:t>
              <w:br/>
              <w:t xml:space="preserve">8.国庆节主题故事书</w:t>
            </w:r>
          </w:p>
        </w:tc>
      </w:tr>
      <w:tr w14:paraId="2C6D51F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restart"/>
            <w:tcBorders>
              <w:bottom w:val="nil"/>
            </w:tcBorders>
            <w:vAlign w:val="top"/>
          </w:tcPr>
          <w:p w14:paraId="45C65B5F">
            <w:pPr>
              <w:rPr>
                <w:sz w:val="24"/>
                <w:szCs w:val="24"/>
              </w:rPr>
            </w:pPr>
          </w:p>
          <w:p w14:paraId="5B72260B">
            <w:pPr>
              <w:rPr>
                <w:sz w:val="24"/>
                <w:szCs w:val="24"/>
              </w:rPr>
            </w:pPr>
          </w:p>
          <w:p w14:paraId="3DF2536E">
            <w:pPr>
              <w:rPr>
                <w:sz w:val="24"/>
                <w:szCs w:val="24"/>
              </w:rPr>
            </w:pPr>
          </w:p>
          <w:p w14:paraId="78D23F06">
            <w:pPr>
              <w:rPr>
                <w:sz w:val="24"/>
                <w:szCs w:val="24"/>
              </w:rPr>
            </w:pPr>
          </w:p>
          <w:p w14:paraId="440344CD">
            <w:pPr>
              <w:rPr>
                <w:sz w:val="24"/>
                <w:szCs w:val="24"/>
              </w:rPr>
            </w:pPr>
          </w:p>
          <w:p w14:paraId="5347077D">
            <w:pPr>
              <w:rPr>
                <w:sz w:val="24"/>
                <w:szCs w:val="24"/>
              </w:rPr>
            </w:pPr>
          </w:p>
          <w:p w14:paraId="522EE1F2">
            <w:pPr>
              <w:rPr>
                <w:sz w:val="24"/>
                <w:szCs w:val="24"/>
              </w:rPr>
            </w:pPr>
          </w:p>
          <w:p w14:paraId="7DFB41A1">
            <w:pPr>
              <w:rPr>
                <w:sz w:val="24"/>
                <w:szCs w:val="24"/>
              </w:rPr>
            </w:pPr>
          </w:p>
          <w:p w14:paraId="7A2B1DB6">
            <w:pPr>
              <w:rPr>
                <w:sz w:val="24"/>
                <w:szCs w:val="24"/>
              </w:rPr>
            </w:pPr>
          </w:p>
          <w:p w14:paraId="778B332B">
            <w:pPr>
              <w:rPr>
                <w:sz w:val="24"/>
                <w:szCs w:val="24"/>
              </w:rPr>
            </w:pPr>
          </w:p>
          <w:p w14:paraId="4897ECC9">
            <w:pPr>
              <w:rPr>
                <w:sz w:val="24"/>
                <w:szCs w:val="24"/>
              </w:rPr>
            </w:pPr>
          </w:p>
          <w:p w14:paraId="7BA9361D">
            <w:pPr>
              <w:rPr>
                <w:sz w:val="24"/>
                <w:szCs w:val="24"/>
              </w:rPr>
            </w:pPr>
          </w:p>
          <w:p w14:paraId="4E905DA4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</w:t>
            </w:r>
          </w:p>
          <w:p w14:paraId="6F94AD08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</w:p>
          <w:p w14:paraId="1CB787DA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过</w:t>
            </w:r>
          </w:p>
          <w:p w14:paraId="4ED29356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</w:t>
            </w:r>
          </w:p>
          <w:p w14:paraId="2359062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restart"/>
            <w:vAlign w:val="top"/>
          </w:tcPr>
          <w:p w14:paraId="2DA0315F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师生互动</w:t>
              <w:br/>
              <w:t xml:space="preserve">师：摇铃鼓，小朋友们请坐好，今天我们要一起学习国庆节的知识了。</w:t>
              <w:br/>
              <w:t xml:space="preserve">幼：幼儿跟随教师的指令坐好，准备开始上课。</w:t>
              <w:br/>
              <w:t xml:space="preserve">提示：教师摇铃鼓，并指向座位。</w:t>
              <w:br/>
              <w:t xml:space="preserve">支持：教师走到需要较多支持的幼儿旁边，轻拍他们的肩膀，引导他们坐好。</w:t>
              <w:br/>
              <w:t xml:space="preserve">师：老师要看看今天哪几位小朋友来了。点到名字的小朋友，请举手，或者说「到」。</w:t>
              <w:br/>
              <w:t xml:space="preserve">幼：听到自己的名字后举手或用手指自己</w:t>
              <w:br/>
              <w:t xml:space="preserve">提示：视觉：点名卡 + 幼儿照片贴板</w:t>
              <w:br/>
              <w:t xml:space="preserve">支持：把点名卡放到幼儿视线水平</w:t>
              <w:br/>
              <w:t xml:space="preserve">支持：点到名字后多等 3 秒，不替他回答</w:t>
              <w:br/>
              <w:t xml:space="preserve">二、热身活动</w:t>
              <w:br/>
              <w:t xml:space="preserve">师：现在我们来做一个国庆节主题的律动，小朋友们准备好了吗？</w:t>
              <w:br/>
              <w:t xml:space="preserve">幼：幼儿跟随教师的指令进行律动。</w:t>
              <w:br/>
              <w:t xml:space="preserve">提示：教师展示国庆节相关的手势或动作。</w:t>
              <w:br/>
              <w:t xml:space="preserve">支持：教师对需要较多支持的幼儿进行动作分解，逐步引导他们完成律动。</w:t>
              <w:br/>
              <w:t xml:space="preserve">三、主题课活动</w:t>
              <w:br/>
              <w:t xml:space="preserve">师：看，老师手里有一面小旗，旗面是红色的，上面还有五颗星星，这是我们的国庆节小旗。</w:t>
              <w:br/>
              <w:t xml:space="preserve">幼：幼儿观察教师手中的小旗。</w:t>
              <w:br/>
              <w:t xml:space="preserve">提示：教师展示小旗，并指向旗上的星星。</w:t>
              <w:br/>
              <w:t xml:space="preserve">支持：教师将小旗放到需要较多支持的幼儿视线水平，并轻声解释。</w:t>
              <w:br/>
              <w:t xml:space="preserve">师：现在我们来玩一个国庆节物品配对的游戏，请小朋友们找出和老师手里一样的物品。</w:t>
              <w:br/>
              <w:t xml:space="preserve">幼：幼儿在教具中寻找与教师手中相同的物品。</w:t>
              <w:br/>
              <w:t xml:space="preserve">提示：教师展示手中的物品，并指向教具架。</w:t>
              <w:br/>
              <w:t xml:space="preserve">支持：教师对需要较多支持的幼儿进行个别指导，帮助他们找到正确的物品。</w:t>
              <w:br/>
              <w:t xml:space="preserve">师：刚才我们学习了国庆节的物品，现在请小朋友们自己来说一说，你们知道哪些国庆节的物品？</w:t>
              <w:br/>
              <w:t xml:space="preserve">幼：幼儿独立说出与国庆节相关的物品。</w:t>
              <w:br/>
              <w:t xml:space="preserve">提示：教师用手指向正在回答的幼儿。</w:t>
              <w:br/>
              <w:t xml:space="preserve">支持：教师对需要较多支持的幼儿进行提示，帮助他们回忆物品的名称。</w:t>
              <w:br/>
              <w:t xml:space="preserve">四、活动结束</w:t>
              <w:br/>
              <w:t xml:space="preserve">师：今天我们学习了国庆节的知识，回家后可以和爸爸妈妈一起找找家里的国庆节装饰品，明天我们来分享。</w:t>
              <w:br/>
              <w:t xml:space="preserve">幼：幼儿听教师讲解，并思考如何与家人分享。</w:t>
              <w:br/>
              <w:t xml:space="preserve">提示：教师展示国庆节装饰品的图片。</w:t>
              <w:br/>
              <w:t xml:space="preserve">支持：教师鼓励幼儿与家人分享学习内容，并给予适当的表扬和鼓励。</w:t>
            </w:r>
          </w:p>
        </w:tc>
        <w:tc>
          <w:tcPr>
            <w:tcW w:w="1102" w:type="dxa"/>
            <w:vMerge w:val="restart"/>
            <w:vAlign w:val="top"/>
          </w:tcPr>
          <w:p w14:paraId="5DC5BEA8">
            <w:pPr>
              <w:rPr>
                <w:color w:val="000000"/>
                <w:sz w:val="24"/>
                <w:szCs w:val="24"/>
              </w:rPr>
            </w:pPr>
          </w:p>
          <w:p w14:paraId="6C1587EF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个别化差异目标</w:t>
            </w:r>
          </w:p>
          <w:p w14:paraId="3ED3B14B"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441" w:type="dxa"/>
            <w:vMerge w:val="restart"/>
            <w:vAlign w:val="top"/>
          </w:tcPr>
          <w:p w14:paraId="66E0077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儿童姓名</w:t>
            </w:r>
          </w:p>
        </w:tc>
        <w:tc>
          <w:tcPr>
            <w:tcW w:w="369" w:type="dxa"/>
            <w:vMerge w:val="restart"/>
            <w:vAlign w:val="top"/>
          </w:tcPr>
          <w:p w14:paraId="4298D3F0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康复目标</w:t>
            </w:r>
          </w:p>
        </w:tc>
        <w:tc>
          <w:tcPr>
            <w:tcW w:w="369" w:type="dxa"/>
            <w:vMerge w:val="restart"/>
            <w:vAlign w:val="top"/>
          </w:tcPr>
          <w:p w14:paraId="7722D09D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康复基线</w:t>
            </w:r>
          </w:p>
        </w:tc>
        <w:tc>
          <w:tcPr>
            <w:tcW w:w="1832" w:type="dxa"/>
            <w:gridSpan w:val="5"/>
            <w:vAlign w:val="top"/>
          </w:tcPr>
          <w:p w14:paraId="7F7A96CD">
            <w:pPr>
              <w:ind w:firstLine="120" w:firstLineChars="5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评量效果</w:t>
            </w:r>
          </w:p>
        </w:tc>
      </w:tr>
      <w:tr w14:paraId="38B2ABA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E207806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2DF485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28A0D8D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vMerge/>
            <w:vAlign w:val="top"/>
          </w:tcPr>
          <w:p w14:paraId="7C6301F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1362E19B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28BFA62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Align w:val="top"/>
          </w:tcPr>
          <w:p w14:paraId="5540EE6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第一次</w:t>
            </w:r>
          </w:p>
        </w:tc>
        <w:tc>
          <w:tcPr>
            <w:tcW w:w="369" w:type="dxa"/>
            <w:vAlign w:val="top"/>
          </w:tcPr>
          <w:p w14:paraId="4B13F6F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第二次</w:t>
            </w:r>
          </w:p>
        </w:tc>
        <w:tc>
          <w:tcPr>
            <w:tcW w:w="369" w:type="dxa"/>
            <w:vAlign w:val="top"/>
          </w:tcPr>
          <w:p w14:paraId="60BC86A3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第三次</w:t>
            </w:r>
          </w:p>
        </w:tc>
        <w:tc>
          <w:tcPr>
            <w:tcW w:w="369" w:type="dxa"/>
            <w:vAlign w:val="top"/>
          </w:tcPr>
          <w:p w14:paraId="6A377C7A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第四次</w:t>
            </w:r>
          </w:p>
        </w:tc>
        <w:tc>
          <w:tcPr>
            <w:tcW w:w="356" w:type="dxa"/>
            <w:vAlign w:val="top"/>
          </w:tcPr>
          <w:p w14:paraId="2B37154F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第五次</w:t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1.整节课堂能安坐好不走出位置不闹情绪</w:t>
              <w:br/>
              <w:t xml:space="preserve">2.能在身体辅助下完成指认国旗</w:t>
              <w:br/>
              <w:t xml:space="preserve">3.能在少量手势辅助下完成指认国旗</w:t>
              <w:br/>
              <w:t xml:space="preserve">4.能自己独立完成指认国旗</w:t>
              <w:br/>
              <w:t xml:space="preserve">5.能自己看图表达国旗的颜色和五角星</w:t>
              <w:br/>
              <w:t xml:space="preserve">6.能参与国庆节的庆祝游戏</w:t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7A8BBF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567BA102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31B4DF6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14404A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7B771AA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S30</w:t>
            </w:r>
          </w:p>
        </w:tc>
        <w:tc>
          <w:tcPr>
            <w:tcW w:w="369" w:type="dxa"/>
            <w:vAlign w:val="top"/>
          </w:tcPr>
          <w:p w14:paraId="7A1AABD1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D31213F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362C03FC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041873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C7CE2B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15DFA1B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6BBF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B84C11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339828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E6426FB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5D9F34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1807DBF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S31</w:t>
            </w:r>
          </w:p>
        </w:tc>
        <w:tc>
          <w:tcPr>
            <w:tcW w:w="369" w:type="dxa"/>
            <w:vAlign w:val="top"/>
          </w:tcPr>
          <w:p w14:paraId="3B2EFB7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4C83D5E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P E</w:t>
            </w:r>
          </w:p>
        </w:tc>
        <w:tc>
          <w:tcPr>
            <w:tcW w:w="369" w:type="dxa"/>
            <w:vAlign w:val="top"/>
          </w:tcPr>
          <w:p w14:paraId="3550C23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05E584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6801F4B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01A375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5123DA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05D1369E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A99E9F4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106A77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82DE9E4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9740F88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S32</w:t>
            </w:r>
          </w:p>
        </w:tc>
        <w:tc>
          <w:tcPr>
            <w:tcW w:w="369" w:type="dxa"/>
            <w:vAlign w:val="top"/>
          </w:tcPr>
          <w:p w14:paraId="299C707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5B312D6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P</w:t>
            </w:r>
          </w:p>
        </w:tc>
        <w:tc>
          <w:tcPr>
            <w:tcW w:w="369" w:type="dxa"/>
            <w:vAlign w:val="top"/>
          </w:tcPr>
          <w:p w14:paraId="0CB265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3C5F35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9C2308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4598F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7F2132F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B4BE26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CD8B81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A5211D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BE1CC4B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559E11B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S33</w:t>
            </w:r>
          </w:p>
        </w:tc>
        <w:tc>
          <w:tcPr>
            <w:tcW w:w="369" w:type="dxa"/>
            <w:vAlign w:val="top"/>
          </w:tcPr>
          <w:p w14:paraId="52C9246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29F1165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P E</w:t>
            </w:r>
          </w:p>
        </w:tc>
        <w:tc>
          <w:tcPr>
            <w:tcW w:w="369" w:type="dxa"/>
            <w:vAlign w:val="top"/>
          </w:tcPr>
          <w:p w14:paraId="59A135E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BC0186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F7D901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DE85A2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66EC9C5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2AE8C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3F033E65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C602EFE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603C7EE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AF637A4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S34</w:t>
            </w:r>
          </w:p>
        </w:tc>
        <w:tc>
          <w:tcPr>
            <w:tcW w:w="369" w:type="dxa"/>
            <w:vAlign w:val="top"/>
          </w:tcPr>
          <w:p w14:paraId="09ED241E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48A36A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576AAA1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1D4BAF7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A4E79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4E508E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C4BB0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4CA37BA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1F55D07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CACC82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EADF3C8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5D2F4B1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S35</w:t>
            </w:r>
          </w:p>
        </w:tc>
        <w:tc>
          <w:tcPr>
            <w:tcW w:w="369" w:type="dxa"/>
            <w:vAlign w:val="top"/>
          </w:tcPr>
          <w:p w14:paraId="3B51D46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vAlign w:val="top"/>
          </w:tcPr>
          <w:p w14:paraId="248C343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</w:t>
            </w:r>
          </w:p>
        </w:tc>
        <w:tc>
          <w:tcPr>
            <w:tcW w:w="369" w:type="dxa"/>
            <w:vAlign w:val="top"/>
          </w:tcPr>
          <w:p w14:paraId="5109352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0D2EE61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13467C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148FA8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2E9835D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4D532BE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0028693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3A9C411A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92DB3E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779958D0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S36</w:t>
            </w:r>
          </w:p>
        </w:tc>
        <w:tc>
          <w:tcPr>
            <w:tcW w:w="369" w:type="dxa"/>
            <w:vAlign w:val="top"/>
          </w:tcPr>
          <w:p w14:paraId="568CCA66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0D1566B5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4D93DD99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4955E5D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74B877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A1D3EC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F17193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65FF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3DCF096B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79CE6C7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70BADB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31AF4255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S37</w:t>
            </w:r>
          </w:p>
        </w:tc>
        <w:tc>
          <w:tcPr>
            <w:tcW w:w="369" w:type="dxa"/>
            <w:vAlign w:val="top"/>
          </w:tcPr>
          <w:p w14:paraId="7BAAE4D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5ECA950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未参与</w:t>
            </w:r>
          </w:p>
        </w:tc>
        <w:tc>
          <w:tcPr>
            <w:tcW w:w="369" w:type="dxa"/>
            <w:vAlign w:val="top"/>
          </w:tcPr>
          <w:p w14:paraId="11B5E12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5CC0C9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174569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22CE1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4100E5B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5EBCDD52">
        <w:tblPrEx>
          <w:tblLayout w:type="fixed"/>
        </w:tblPrEx>
        <w:trPr>
          <w:trHeight w:val="1262" w:hRule="atLeast"/>
        </w:trPr>
        <w:tc>
          <w:tcPr>
            <w:tcW w:w="785" w:type="dxa"/>
            <w:vAlign w:val="top"/>
          </w:tcPr>
          <w:p w14:paraId="0DC90BF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延  伸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395B9D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 生活延伸：组织幼儿观察家中的国庆节装饰，讨论其象征意义。</w:t>
              <w:br/>
              <w:t xml:space="preserve">2. 家园共育：鼓励家长与幼儿一起制作国庆节主题的手工作品。</w:t>
            </w:r>
          </w:p>
        </w:tc>
      </w:tr>
      <w:tr w14:paraId="1F51AECD">
        <w:tblPrEx>
          <w:tblLayout w:type="fixed"/>
        </w:tblPrEx>
        <w:trPr>
          <w:gridAfter w:val="1"/>
          <w:wAfter w:w="813" w:type="dxa"/>
          <w:trHeight w:val="1306" w:hRule="atLeast"/>
        </w:trPr>
        <w:tc>
          <w:tcPr>
            <w:tcW w:w="785" w:type="dxa"/>
            <w:tcBorders>
              <w:bottom w:val="single" w:color="auto" w:sz="4" w:space="0"/>
            </w:tcBorders>
            <w:vAlign w:val="top"/>
          </w:tcPr>
          <w:p w14:paraId="6993B14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反  思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D18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（此处留白，供带班老师课后填写）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hint="eastAsia" w:ascii="Times New Roman" w:hAnsi="Times New Roman" w:eastAsia="宋体" w:cs="Times New Roman"/>
          <w:b/>
          <w:sz w:val="28"/>
        </w:rPr>
        <w:t>附录：儿童分层对照表（认知课《国庆节到了》）</w:t>
      </w:r>
    </w:p>
    <w:p>
      <w:r>
        <w:rPr>
          <w:rFonts w:hint="eastAsia" w:ascii="Times New Roman" w:hAnsi="Times New Roman" w:eastAsia="宋体" w:cs="Times New Roman"/>
          <w:sz w:val="24"/>
        </w:rPr>
        <w:t>说明：本页为教学管理用，不属于教案正文。共分 4 个层级 —— 层数不是预设的，而是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出来的（有几种组合规律就分几层，见 §二）；层级依据范例教案的「个别化差异目标」条文序号组合判定；随每次评量结果，同一幼儿的层级可上/下调一层。</w:t>
      </w:r>
    </w:p>
    <w:p>
      <w:r>
        <w:rPr>
          <w:rFonts w:hint="eastAsia" w:ascii="Times New Roman" w:hAnsi="Times New Roman" w:eastAsia="宋体" w:cs="Times New Roman"/>
          <w:b/>
          <w:sz w:val="24"/>
        </w:rPr>
        <w:t>一、分层依据（目标阶梯）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89"/>
        <w:gridCol w:w="3489"/>
        <w:gridCol w:w="3489"/>
      </w:tblGrid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目标序号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目标条文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轴位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整节课堂能安坐好不走出位置不闹情绪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课堂常规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能在身体辅助下完成指认国旗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1/3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能在少量手势辅助下完成指认国旗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2/3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能自己独立完成指认国旗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3/3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能自己看图表达国旗的颜色和五角星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6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能参与国庆节的庆祝游戏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/>
          <w:sz w:val="24"/>
        </w:rPr>
        <w:t>二、4 个层级与目标组合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定义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所需支持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组合规律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身体辅助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少量手势辅助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独立完成并泛化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R+S3+A1+A2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注：层级不是预设的，而是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 —— 13 份范例、170 条儿童记录里的组合只落在 4 种形态上（「组合规律」列）；各层的基线达标密度依次为 L1 0.48、 L2 0.56、 L3 0.8、 L4 0.92，单调递增，说明分层与实际能力一致。个别幼儿的实际组合按其最近一次评量记录延续（个别化连续性），因此可能与本表不同 —— 请以「三、儿童代号与所属层级」里的实际组合为准。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三、儿童代号与所属层级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所属层级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层级名称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本课目标组合（沿用本人最近记录）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判定依据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支持层级「大量身体辅助」→ 档 1；达标率 0.25 → 档 2；取更需支持侧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整轮未参与；所在课阶梯不全，层级由画像判定 → 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0.58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0.50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0.50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0.58 → 档 3；取更需支持侧 = L3（该层原本无人，从相邻档按能力最低/最高者补入）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层级分布：L1 高支持层 2 名，L2 中支持层 3 名，L3 低支持层 1 名，L4 泛化层 3 名；合计 9 名。</w:t>
      </w:r>
    </w:p>
    <w:p>
      <w:r>
        <w:rPr>
          <w:rFonts w:hint="eastAsia" w:ascii="Times New Roman" w:hAnsi="Times New Roman" w:eastAsia="宋体" w:cs="Times New Roman"/>
          <w:sz w:val="24"/>
        </w:rPr>
        <w:t>定层来源：0 名按「本人最近一次可解释记录的组合规律」定层，9 名因该记录所在教案的阶梯无法从范例恢复，改按能力画像判定（判定依据列已逐条注明各自来源）。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四、随评量结果的层级调整机制</w:t>
      </w:r>
    </w:p>
    <w:p>
      <w:r>
        <w:rPr>
          <w:rFonts w:hint="eastAsia" w:ascii="Times New Roman" w:hAnsi="Times New Roman" w:eastAsia="宋体" w:cs="Times New Roman"/>
          <w:sz w:val="24"/>
        </w:rPr>
        <w:t>规则：</w:t>
      </w:r>
      <w:r>
        <w:rPr>
          <w:rFonts w:hint="eastAsia" w:ascii="Times New Roman" w:hAnsi="Times New Roman" w:eastAsia="宋体" w:cs="Times New Roman"/>
          <w:b/>
          <w:sz w:val="24"/>
        </w:rPr>
        <w:t>连续两次</w:t>
      </w:r>
      <w:r>
        <w:rPr>
          <w:rFonts w:hint="eastAsia" w:ascii="Times New Roman" w:hAnsi="Times New Roman" w:eastAsia="宋体" w:cs="Times New Roman"/>
          <w:sz w:val="24"/>
        </w:rPr>
        <w:t>评量达标率 ≥ 85% → 上调一层；某次评量达标率 &lt; 40% → 下调一层；「未参与」不计入分母、也不触发调整。层级上限 L4、下限 L1。上调后</w:t>
      </w:r>
      <w:r>
        <w:rPr>
          <w:rFonts w:hint="eastAsia" w:ascii="Times New Roman" w:hAnsi="Times New Roman" w:eastAsia="宋体" w:cs="Times New Roman"/>
          <w:b/>
          <w:sz w:val="24"/>
        </w:rPr>
        <w:t>康复目标</w:t>
      </w:r>
      <w:r>
        <w:rPr>
          <w:rFonts w:hint="eastAsia" w:ascii="Times New Roman" w:hAnsi="Times New Roman" w:eastAsia="宋体" w:cs="Times New Roman"/>
          <w:sz w:val="24"/>
        </w:rPr>
        <w:t>换成新层的组合规律；</w:t>
      </w:r>
      <w:r>
        <w:rPr>
          <w:rFonts w:hint="eastAsia" w:ascii="Times New Roman" w:hAnsi="Times New Roman" w:eastAsia="宋体" w:cs="Times New Roman"/>
          <w:b/>
          <w:sz w:val="24"/>
        </w:rPr>
        <w:t>康复基线</w:t>
      </w:r>
      <w:r>
        <w:rPr>
          <w:rFonts w:hint="eastAsia" w:ascii="Times New Roman" w:hAnsi="Times New Roman" w:eastAsia="宋体" w:cs="Times New Roman"/>
          <w:sz w:val="24"/>
        </w:rPr>
        <w:t>里保留下来的目标沿用原记号，</w:t>
      </w:r>
      <w:r>
        <w:rPr>
          <w:rFonts w:hint="eastAsia" w:ascii="Times New Roman" w:hAnsi="Times New Roman" w:eastAsia="宋体" w:cs="Times New Roman"/>
          <w:b/>
          <w:sz w:val="24"/>
        </w:rPr>
        <w:t>新加入的目标记 E（未达标）</w:t>
      </w:r>
      <w:r>
        <w:rPr>
          <w:rFonts w:hint="eastAsia" w:ascii="Times New Roman" w:hAnsi="Times New Roman" w:eastAsia="宋体" w:cs="Times New Roman"/>
          <w:sz w:val="24"/>
        </w:rPr>
        <w:t>—— 因为它们还没评估过。</w:t>
      </w:r>
    </w:p>
    <w:p>
      <w:r>
        <w:rPr>
          <w:rFonts w:hint="eastAsia" w:ascii="Times New Roman" w:hAnsi="Times New Roman" w:eastAsia="宋体" w:cs="Times New Roman"/>
          <w:sz w:val="24"/>
        </w:rPr>
        <w:t>下表用各层级的能力画像推演五次评量的走向，演示该机制如何工作；实际使用时由老师在「评量效果」五列记录 P（达标）/ E（未达标），系统据此重算下一轮层级。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初始层级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第1次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第2次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第3次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第4次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第5次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/>
          <w:sz w:val="24"/>
        </w:rPr>
        <w:t>五、按班级拆分与儿童姓名代号</w:t>
      </w:r>
    </w:p>
    <w:p>
      <w:r>
        <w:rPr>
          <w:rFonts w:hint="eastAsia" w:ascii="Times New Roman" w:hAnsi="Times New Roman" w:eastAsia="宋体" w:cs="Times New Roman"/>
          <w:sz w:val="24"/>
        </w:rPr>
        <w:t>每个班各出一份</w:t>
      </w:r>
      <w:r>
        <w:rPr>
          <w:rFonts w:hint="eastAsia" w:ascii="Times New Roman" w:hAnsi="Times New Roman" w:eastAsia="宋体" w:cs="Times New Roman"/>
          <w:b/>
          <w:sz w:val="24"/>
        </w:rPr>
        <w:t>独立的教案文件</w:t>
      </w:r>
      <w:r>
        <w:rPr>
          <w:rFonts w:hint="eastAsia" w:ascii="Times New Roman" w:hAnsi="Times New Roman" w:eastAsia="宋体" w:cs="Times New Roman"/>
          <w:sz w:val="24"/>
        </w:rPr>
        <w:t>；各班的班级信息项（年龄范围 / 人数 / 轻度 / 中度 / 重度 / 多重障碍 / 障碍类别）按</w:t>
      </w:r>
      <w:r>
        <w:rPr>
          <w:rFonts w:hint="eastAsia" w:ascii="Times New Roman" w:hAnsi="Times New Roman" w:eastAsia="宋体" w:cs="Times New Roman"/>
          <w:b/>
          <w:sz w:val="24"/>
        </w:rPr>
        <w:t>该班最新日期的那份范例</w:t>
      </w:r>
      <w:r>
        <w:rPr>
          <w:rFonts w:hint="eastAsia" w:ascii="Times New Roman" w:hAnsi="Times New Roman" w:eastAsia="宋体" w:cs="Times New Roman"/>
          <w:sz w:val="24"/>
        </w:rPr>
        <w:t>填写，人数取本课名册里该班的实际人数。「障碍类别」一栏照范例填写该班的障碍名称与类别 —— 该栏目是模板固有结构（描述班级构成，不指向任何具体幼儿）。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班级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儿童姓名代号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年龄范围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人数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轻度/中度/重度/多重障碍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障碍类别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信息项来源（该班最新范例）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闪电班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S29、S30、S31、S32、S33、S34、S35、S36、S37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6—13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★ / ★ / ★ / ★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智力障碍、自闭症   ★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闪电班4月21日主题教案(1).docx（2026年4月21日—4月24日）</w:t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F5BAB2"/>
    <w:multiLevelType w:val="singleLevel"/>
    <w:tmpl w:val="85F5BAB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AC6C0F"/>
    <w:multiLevelType w:val="singleLevel"/>
    <w:tmpl w:val="8DAC6C0F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A2B4EF7"/>
    <w:multiLevelType w:val="singleLevel"/>
    <w:tmpl w:val="5A2B4EF7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5A2B4F09"/>
    <w:multiLevelType w:val="singleLevel"/>
    <w:tmpl w:val="5A2B4F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1367</Words>
  <Characters>1527</Characters>
  <Lines>0</Lines>
  <Paragraphs>0</Paragraphs>
  <TotalTime>0</TotalTime>
  <ScaleCrop>false</ScaleCrop>
  <LinksUpToDate>false</LinksUpToDate>
  <CharactersWithSpaces>1783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2025-05-12T14:46:00Z</dcterms:created>
  <dc:creator>Administrator</dc:creator>
  <cp:lastModifiedBy>iPhone</cp:lastModifiedBy>
  <dcterms:modified xsi:type="dcterms:W3CDTF">2026-09-28T15:28:15Z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2052-26.9.0</vt:lpwstr>
  </property>
  <property fmtid="{D5CDD505-2E9C-101B-9397-08002B2CF9AE}" pid="3" name="KSOTemplateDocerSaveRecord">
    <vt:lpwstr>eyJoZGlkIjoiNWU2ODc1NDA4NmVlNjg0NjFmZWUwMGUyYjg5MTY5ZGUiLCJ1c2VySWQiOiI0MTMyMDUzNzMifQ==</vt:lpwstr>
  </property>
  <property fmtid="{D5CDD505-2E9C-101B-9397-08002B2CF9AE}" pid="4" name="ICV">
    <vt:lpwstr>8BD9C469A711488B999A81C8B0D8F798_12</vt:lpwstr>
  </property>
</Properties>
</file>