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E7" w:rsidRDefault="004C1D24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PROPOSTA DE PROJETO DE EXTENSÃO </w:t>
      </w:r>
      <w:r>
        <w:rPr>
          <w:rFonts w:ascii="Arial" w:eastAsia="Arial" w:hAnsi="Arial" w:cs="Arial"/>
          <w:b/>
          <w:sz w:val="20"/>
        </w:rPr>
        <w:tab/>
      </w:r>
    </w:p>
    <w:p w:rsidR="00D330E7" w:rsidRDefault="00D330E7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1. DADOS GERAIS </w:t>
      </w: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Título do Projeto</w:t>
      </w: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  <w:jc w:val="both"/>
              <w:rPr>
                <w:rFonts w:ascii="Arial" w:eastAsia="Arial" w:hAnsi="Arial" w:cs="Arial"/>
                <w:color w:val="4F6228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</w:t>
            </w:r>
            <w:r w:rsidR="00DC07A4">
              <w:rPr>
                <w:rFonts w:ascii="Arial" w:eastAsia="Arial" w:hAnsi="Arial" w:cs="Arial"/>
                <w:b/>
                <w:color w:val="000000"/>
                <w:sz w:val="20"/>
              </w:rPr>
              <w:t>F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é um jogo de tiro em primeira pessoa (FPS) cujo objetivo é derrotar inimigos que tentam incendiar a floresta.</w:t>
            </w:r>
          </w:p>
          <w:p w:rsidR="00D330E7" w:rsidRDefault="00D330E7">
            <w:pPr>
              <w:suppressAutoHyphens/>
              <w:spacing w:after="200" w:line="276" w:lineRule="auto"/>
            </w:pPr>
          </w:p>
        </w:tc>
      </w:tr>
    </w:tbl>
    <w:p w:rsidR="00D330E7" w:rsidRDefault="00D330E7">
      <w:pPr>
        <w:suppressAutoHyphens/>
        <w:spacing w:after="0" w:line="240" w:lineRule="auto"/>
        <w:jc w:val="both"/>
        <w:rPr>
          <w:rFonts w:ascii="Arial" w:eastAsia="Arial" w:hAnsi="Arial" w:cs="Arial"/>
          <w:color w:val="FF3333"/>
          <w:sz w:val="20"/>
        </w:rPr>
      </w:pP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Integrantes da equipe</w:t>
      </w:r>
    </w:p>
    <w:p w:rsidR="00D330E7" w:rsidRDefault="004C1D24">
      <w:pPr>
        <w:suppressAutoHyphens/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</w:rPr>
      </w:pPr>
      <w:r>
        <w:rPr>
          <w:rFonts w:ascii="Arial" w:eastAsia="Arial" w:hAnsi="Arial" w:cs="Arial"/>
          <w:b/>
          <w:color w:val="4F6228"/>
          <w:sz w:val="16"/>
        </w:rPr>
        <w:t>Identificar o nome completo e o RA dos participantes do projeto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0"/>
        <w:gridCol w:w="252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Nome:</w:t>
            </w:r>
          </w:p>
          <w:p w:rsidR="00D330E7" w:rsidRDefault="00D330E7">
            <w:pPr>
              <w:suppressAutoHyphens/>
              <w:spacing w:after="0" w:line="240" w:lineRule="auto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RA:</w:t>
            </w:r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Antônio Petri M. S. M. e Oliveira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24026144</w:t>
            </w:r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Luís Felipe Nascimento Freitas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24026073</w:t>
            </w:r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Rafael Moraes Marques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24025873</w:t>
            </w:r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Thiago Akira Higa Mitami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24026254</w:t>
            </w:r>
          </w:p>
        </w:tc>
      </w:tr>
    </w:tbl>
    <w:p w:rsidR="00D330E7" w:rsidRDefault="00D330E7">
      <w:pPr>
        <w:suppressAutoHyphens/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Professor responsável</w:t>
      </w:r>
    </w:p>
    <w:tbl>
      <w:tblPr>
        <w:tblW w:w="0" w:type="auto"/>
        <w:tblInd w:w="1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9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Prof. Victor Bruno Alexandre Rosetti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Quiroz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, Prof. Fabiano Onça e Prof. Adriano Felix Valente</w:t>
            </w:r>
          </w:p>
        </w:tc>
      </w:tr>
    </w:tbl>
    <w:p w:rsidR="00D330E7" w:rsidRDefault="00D330E7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Curso</w:t>
      </w:r>
    </w:p>
    <w:tbl>
      <w:tblPr>
        <w:tblW w:w="0" w:type="auto"/>
        <w:tblInd w:w="1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2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Ciências da Computação- Matutino 2024.01</w:t>
            </w:r>
          </w:p>
        </w:tc>
      </w:tr>
    </w:tbl>
    <w:p w:rsidR="00D330E7" w:rsidRDefault="00D330E7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Linha de atuação</w:t>
      </w: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Identificar com </w:t>
      </w:r>
      <w:r>
        <w:rPr>
          <w:rFonts w:ascii="Segoe UI Symbol" w:eastAsia="Segoe UI Symbol" w:hAnsi="Segoe UI Symbol" w:cs="Segoe UI Symbol"/>
          <w:b/>
          <w:color w:val="4F6228"/>
          <w:sz w:val="16"/>
        </w:rPr>
        <w:t>✓</w:t>
      </w: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 uma ou mais linhas de atuação conforme</w:t>
      </w:r>
      <w:r>
        <w:rPr>
          <w:rFonts w:ascii="Calibri" w:eastAsia="Calibri" w:hAnsi="Calibri" w:cs="Calibri"/>
          <w:color w:val="4F6228"/>
        </w:rPr>
        <w:t xml:space="preserve"> </w:t>
      </w:r>
      <w:r>
        <w:rPr>
          <w:rFonts w:ascii="Arial" w:eastAsia="Arial" w:hAnsi="Arial" w:cs="Arial"/>
          <w:b/>
          <w:color w:val="4F6228"/>
          <w:sz w:val="16"/>
        </w:rPr>
        <w:t xml:space="preserve">projeto pedagógico de curso. 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4"/>
        <w:gridCol w:w="4383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ind w:left="360"/>
            </w:pPr>
            <w:r>
              <w:rPr>
                <w:rFonts w:ascii="Arial" w:eastAsia="Arial" w:hAnsi="Arial" w:cs="Arial"/>
                <w:color w:val="000000"/>
                <w:sz w:val="20"/>
              </w:rPr>
              <w:t>- Projeto Interdisciplinar: 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16"/>
              </w:rPr>
              <w:t>✓</w:t>
            </w:r>
          </w:p>
          <w:p w:rsidR="00D330E7" w:rsidRDefault="00D330E7">
            <w:pPr>
              <w:suppressAutoHyphens/>
              <w:spacing w:after="0" w:line="240" w:lineRule="auto"/>
            </w:pPr>
          </w:p>
        </w:tc>
      </w:tr>
    </w:tbl>
    <w:p w:rsidR="00D330E7" w:rsidRDefault="00D330E7">
      <w:pPr>
        <w:suppressAutoHyphens/>
        <w:spacing w:after="0" w:line="240" w:lineRule="auto"/>
        <w:jc w:val="both"/>
        <w:rPr>
          <w:rFonts w:ascii="Arial" w:eastAsia="Arial" w:hAnsi="Arial" w:cs="Arial"/>
          <w:color w:val="FF3333"/>
          <w:sz w:val="20"/>
        </w:rPr>
      </w:pP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Objetivos do Desenvolvimento Sustentável</w:t>
      </w: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Identificar com </w:t>
      </w:r>
      <w:r>
        <w:rPr>
          <w:rFonts w:ascii="Segoe UI Symbol" w:eastAsia="Segoe UI Symbol" w:hAnsi="Segoe UI Symbol" w:cs="Segoe UI Symbol"/>
          <w:b/>
          <w:color w:val="4F6228"/>
          <w:sz w:val="16"/>
        </w:rPr>
        <w:t>✓</w:t>
      </w: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 um ou mais ODS impactado(s) pelo projeto</w:t>
      </w:r>
    </w:p>
    <w:tbl>
      <w:tblPr>
        <w:tblW w:w="0" w:type="auto"/>
        <w:tblInd w:w="2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3"/>
        <w:gridCol w:w="4444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1- Erradicação da Pobreza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2- Fome Zero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Bem Estar</w:t>
            </w:r>
            <w:proofErr w:type="gramEnd"/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4- Educação de Qualidade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5- Igualdade de Gênero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6- Água Potável e Saneamento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7- Energia Limpa e Acessível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8- Trabalho Decente e Crescimento Econômico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9- Indústria, Inovação e Infraestrutura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10- Redução das Desigualdades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11-Cidades e Comunidades Sustentáveis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12- Consumo e Produção Responsáveis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13- Ação C</w:t>
            </w: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ontra a Mudança Global do Clima</w:t>
            </w:r>
            <w:r>
              <w:rPr>
                <w:rFonts w:ascii="Segoe UI Symbol" w:eastAsia="Segoe UI Symbol" w:hAnsi="Segoe UI Symbol" w:cs="Segoe UI Symbol"/>
                <w:b/>
                <w:color w:val="000000"/>
                <w:sz w:val="16"/>
                <w:shd w:val="clear" w:color="auto" w:fill="FFFFFF"/>
              </w:rPr>
              <w:t>✓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14- Vida na Água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15- Vida Terrestre </w:t>
            </w:r>
            <w:r>
              <w:rPr>
                <w:rFonts w:ascii="Segoe UI Symbol" w:eastAsia="Segoe UI Symbol" w:hAnsi="Segoe UI Symbol" w:cs="Segoe UI Symbol"/>
                <w:b/>
                <w:color w:val="000000"/>
                <w:sz w:val="16"/>
                <w:shd w:val="clear" w:color="auto" w:fill="FFFFFF"/>
              </w:rPr>
              <w:t>✓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16- Paz, Justiça e Instituições Eficazes</w:t>
            </w:r>
          </w:p>
          <w:p w:rsidR="00D330E7" w:rsidRDefault="004C1D24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17- Parcerias e Meios de Implementação</w:t>
            </w:r>
          </w:p>
          <w:p w:rsidR="00D330E7" w:rsidRDefault="00D330E7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360" w:hanging="360"/>
            </w:pPr>
          </w:p>
        </w:tc>
      </w:tr>
    </w:tbl>
    <w:p w:rsidR="00D330E7" w:rsidRDefault="00D330E7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330E7" w:rsidRDefault="00D330E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Tipo de projeto</w:t>
      </w: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Identificar com </w:t>
      </w:r>
      <w:r>
        <w:rPr>
          <w:rFonts w:ascii="Segoe UI Symbol" w:eastAsia="Segoe UI Symbol" w:hAnsi="Segoe UI Symbol" w:cs="Segoe UI Symbol"/>
          <w:b/>
          <w:color w:val="4F6228"/>
          <w:sz w:val="16"/>
        </w:rPr>
        <w:t>✓</w:t>
      </w: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 o tipo de projeto. </w:t>
      </w:r>
    </w:p>
    <w:tbl>
      <w:tblPr>
        <w:tblW w:w="0" w:type="auto"/>
        <w:tblInd w:w="1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2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Atividade de Extensão não implementado na prática (proposta de intervenção)</w:t>
            </w:r>
          </w:p>
          <w:p w:rsidR="00D330E7" w:rsidRDefault="004C1D24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Atividade de Extensão implementado na prática (intervenção executada) </w:t>
            </w:r>
            <w:r>
              <w:rPr>
                <w:rFonts w:ascii="Segoe UI Symbol" w:eastAsia="Segoe UI Symbol" w:hAnsi="Segoe UI Symbol" w:cs="Segoe UI Symbol"/>
                <w:b/>
                <w:color w:val="000000"/>
                <w:sz w:val="16"/>
                <w:shd w:val="clear" w:color="auto" w:fill="FFFFFF"/>
              </w:rPr>
              <w:t>✓</w:t>
            </w:r>
          </w:p>
        </w:tc>
      </w:tr>
    </w:tbl>
    <w:p w:rsidR="00D330E7" w:rsidRDefault="004C1D24">
      <w:pPr>
        <w:suppressAutoHyphens/>
        <w:spacing w:before="240"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Tema gerador</w:t>
      </w: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2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Queimadas em Florestas: Impacto da Ação Antrópica na Mudança Climática</w:t>
            </w:r>
          </w:p>
          <w:p w:rsidR="00D330E7" w:rsidRDefault="00D330E7">
            <w:pPr>
              <w:suppressAutoHyphens/>
              <w:spacing w:after="0" w:line="240" w:lineRule="auto"/>
            </w:pPr>
          </w:p>
        </w:tc>
      </w:tr>
    </w:tbl>
    <w:p w:rsidR="00D330E7" w:rsidRDefault="004C1D24">
      <w:pPr>
        <w:suppressAutoHyphens/>
        <w:spacing w:before="240" w:after="0" w:line="276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Produto decorrente do projeto (opcional dependendo do tipo de projeto)</w:t>
      </w: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3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>"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 xml:space="preserve">" é um jogo de tiro em primeira pessoa (FPS) que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>concentra-se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 xml:space="preserve"> na batalha contra hordas de inimigos. O objetivo principal é eliminar os monstros que representam as ações nocivas dos seres humanos, que buscam incendiar a floresta. O jogo prosse</w:t>
            </w:r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>gue de forma contínua até que o jogador seja derrotado, tendo como meta sobreviver ao maior número possível de hordas. A cada inimigo eliminado, o jogador ganha pontos, aspirando constantemente a superar seu próprio recorde pessoal.</w:t>
            </w: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2. IDENTIFICAÇÃO DO C</w:t>
      </w:r>
      <w:r>
        <w:rPr>
          <w:rFonts w:ascii="Arial" w:eastAsia="Arial" w:hAnsi="Arial" w:cs="Arial"/>
          <w:b/>
          <w:sz w:val="20"/>
        </w:rPr>
        <w:t>ENÁRIO DE INTERVENÇÃO E HIPÓTESES DE SOLUÇÃO</w:t>
      </w: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color w:val="FF3333"/>
          <w:sz w:val="16"/>
        </w:rPr>
      </w:pPr>
      <w:r>
        <w:rPr>
          <w:rFonts w:ascii="Arial" w:eastAsia="Arial" w:hAnsi="Arial" w:cs="Arial"/>
          <w:b/>
          <w:sz w:val="20"/>
        </w:rPr>
        <w:t>Local (cenário) previsto para a implementação do projeto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  <w:t xml:space="preserve">O ambiente educacional se apresenta como o cenário ideal para a implementação do jogo. Nesse contexto, o público infanto-juvenil pode desfrutar de uma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experiência interativa e divertida, ao mesmo tempo em que compreende de maneira mais efetiva a importância das florestas. Além disso, essa abordagem permite que os jogadores reconheçam a necessidade premente de proteger as florestas, a fim de mitigar os ef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eitos das mudanças climáticas e evitar a perda da biodiversidade.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color w:val="FF3333"/>
          <w:sz w:val="16"/>
        </w:rPr>
      </w:pPr>
      <w:r>
        <w:rPr>
          <w:rFonts w:ascii="Arial" w:eastAsia="Arial" w:hAnsi="Arial" w:cs="Arial"/>
          <w:b/>
          <w:sz w:val="20"/>
        </w:rPr>
        <w:t>Público-alvo a ser atendido pelo projeto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 propósito é instruir o público infanto-juvenil sobre a relevância da preservação das florestas e os impactos negativos das queimadas, tanto em contextos urbanos quanto rurais. Ao educar essa faixa etária, que eventualmente se tornará adulta, podemos atua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r na redução da incidência de incêndios florestais, o que por sua vez contribui para a salvaguarda do meio ambiente e do planeta Terra como um todo.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Apresentação do(s) problema(s) observado(s) e delimitação do objeto de estudo e intervenção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Dada a magnitude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das devastação ambiental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e das mudanças climáticas causadas pelas queimadas, é imprescindível que haja um estudo aprofundado sobre a prevenção desses incidentes e sobre as técnicas de recuperação das áreas afetadas. Caso contrário, a degra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dação contínua do planeta pode torná-lo progressivamente inabitável para os seres humanos. Portanto, é urgente a implementação de mudanças imediatas para evitar o desenrolar desse cenário caótico.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Definição de hipóteses para a solução do problema observ</w:t>
      </w:r>
      <w:r>
        <w:rPr>
          <w:rFonts w:ascii="Arial" w:eastAsia="Arial" w:hAnsi="Arial" w:cs="Arial"/>
          <w:b/>
          <w:sz w:val="20"/>
        </w:rPr>
        <w:t>ado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  <w:t>A educação desempenha um papel fundamental na prevenção de queimadas, abrangendo diversas áreas de atuação. Desde a conscientização sobre os riscos até o estímulo à mudança de comportamento, passando pela capacitação técnica e o engajamento comunitá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rio, a educação desempenha um papel multifacetado nesse contexto. Ao proporcionar um entendimento abrangente dos perigos das queimadas e das medidas preventivas necessárias, a educação tem o potencial de desempenhar um papel significativo na redução desses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incidentes e na preservação do meio ambiente.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3 DESCRIÇÃO DO PROJETO</w:t>
      </w: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</w:rPr>
      </w:pPr>
      <w:r>
        <w:rPr>
          <w:rFonts w:ascii="Arial" w:eastAsia="Arial" w:hAnsi="Arial" w:cs="Arial"/>
          <w:b/>
          <w:color w:val="4F6228"/>
          <w:sz w:val="16"/>
        </w:rPr>
        <w:t>É importante destacar que um projeto de extensão não precisa ser necessariamente igual a um projeto de pesquisa. Mesmo que haja necessidade de pesquisa prévia para a fundamentação teórica, construção da introdução e para um melhor entendimento sobre a real</w:t>
      </w:r>
      <w:r>
        <w:rPr>
          <w:rFonts w:ascii="Arial" w:eastAsia="Arial" w:hAnsi="Arial" w:cs="Arial"/>
          <w:b/>
          <w:color w:val="4F6228"/>
          <w:sz w:val="16"/>
        </w:rPr>
        <w:t>idade a ser trabalhada, é preciso que um projeto de extensão contemple práticas que promovam mudanças e/ou melhorias identificadas como necessárias. O projeto final deverá ser simples, objetivo, claro e ter de 3 a 5 páginas, dentro do modelo aqui proposto.</w:t>
      </w:r>
      <w:r>
        <w:rPr>
          <w:rFonts w:ascii="Arial" w:eastAsia="Arial" w:hAnsi="Arial" w:cs="Arial"/>
          <w:b/>
          <w:color w:val="4F6228"/>
          <w:sz w:val="16"/>
        </w:rPr>
        <w:t xml:space="preserve"> </w:t>
      </w: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Resumo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8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  <w:t>O jogo "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" foi concebido com o propósito de defender uma floresta fictícia de monstros que buscam incendiá-la. Trata-se de um jogo do gênero FPS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First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Person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Shooter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), no qual o jogador deve procurar sobreviver o maior tempo possíve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l diante das ameaças constantes. A cada nova horda de monstros, estes surgem, ampliando o desafio enfrentado pelo jogador. A pontuação do jogador aumenta a cada monstro derrotado, culminando no término do jogo quando o jogador é finalmente derrotado pelas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criaturas.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  <w:t>O desenvolvimento do jogo foi orientado pela consideração dos Objetivos de Desenvolvimento Sustentável (ODS), em particular o ODS 13 (Ação contra a Mudança Global do Clima) e o ODS 15 (Vida Terrestre). O público-alvo primário para este jogo sã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o crianças e adolescentes, com o intuito de promover a conscientização sobre a importância do estudo das queimadas e das estratégias para combatê-las, visando a preservação do meio ambiente.</w:t>
            </w: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trike/>
          <w:sz w:val="20"/>
        </w:rPr>
      </w:pPr>
    </w:p>
    <w:p w:rsidR="00D330E7" w:rsidRDefault="004C1D24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Introdução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A devastação ambiental causada por incêndios florestais é uma preocupação global crescente, refletindo não apenas a perda de biodiversidade, mas também consequências socioeconômicas e ambientais de longo prazo. Diante desse cenário, surge a necessidade urg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ente de intervenções eficazes para restaurar as áreas degradadas e promover a sustentabilidade ambiental. Nesse contexto, este jogo de combate às queimadas é uma iniciativa que visa abordar essa questão crucial, utilizando-se de uma abordagem educativa e i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nterativa.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  <w:t>Ao focar na recuperação de áreas afetadas por incêndios, este jogo não apenas busca sensibilizar os jogadores para a importância da preservação ambiental, mas também oferece uma experiência prática que os engaja no processo de proteção das flo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restas. Essa intervenção não apenas contribui para a mitigação dos impactos negativos dos incêndios florestais, mas também está alinhada com diversos Objetivos de Desenvolvimento Sustentável (ODS), em especial o ODS 13 - Ação Contra a Mudança Global do Cli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ma e o ODS 15 - Vida Terrestre.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  <w:t>O ODS 13 visa tomar medidas urgentes para combater a mudança climática e seus impactos, promovendo ações em todos os níveis para reduzir as emissões de gases de efeito estufa e aumentar a resiliência e a capacidade de adap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tação às mudanças climáticas. O jogo, ao conscientizar sobre os impactos das queimadas, contribui para a educação e mobilização social necessária para alcançar esse objetivo.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O ODS 15 tem como objetivo proteger, restaurar e promover o uso sustentável dos ecossistemas terrestres, gerir de forma sustentável as florestas, combater a desertificação, deter e reverter a degradação da terra e deter a perda de biodiversidade. Ao envolv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er os jogadores na defesa e recuperação de florestas ameaçadas por queimadas, o jogo incentiva práticas que estão em consonância com a preservação e sustentabilidade dos ecossistemas terrestres.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  <w:t>Dessa forma, este jogo não apenas entretém, mas também educ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a e mobiliza os jovens para se tornarem agentes de mudança na luta contra as queimadas e na promoção de um ambiente mais sustentável e resiliente.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C07A4" w:rsidRDefault="00DC07A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C07A4" w:rsidRDefault="00DC07A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D330E7">
            <w:pPr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Objetivos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1. Conscientização sobre a Importância das Árvores no Meio Ambiente e seu Papel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no Combate às Alterações Climáticas: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 jogo visa informar os jogadores sobre a significância das árvores para o meio ambiente, destacando seu papel crucial na mitigação das alterações climáticas.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2. Contribuição com os Objetivos de Desenvolvimento Sustentável (ODS):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 jogo está alinhado com os Objetivos de Desenvolvimento Sustentável, buscando apoiar diretamente a realização de metas relacionadas à preservação ambiental e sustentabilidade.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3. Int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egração de Conhecimento e Entretenimento: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 jogo combina elementos educacionais com entretenimento, proporcionando aos jogadores uma experiência envolvente enquanto adquirem conhecimentos sobre questões ambientais.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4. Incentivo a Práticas Sociais para a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Proteção Ambiental: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Por meio do jogo, são promovidas práticas sociais voltadas para a proteção e conservação do meio ambiente, estimulando os jogadores a adotarem comportamentos mais sustentáveis em suas vidas diárias.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5. Educação sobre Prevenção das Queimadas: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 jogo tem como objetivo educar os jogadores sobre a prevenção das queimadas, fornecendo informações e estratégias para evitar incêndios florestais e proteger os ecossistemas naturais.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6. Entretenimento do Jogad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or: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8"/>
              </w:numPr>
              <w:tabs>
                <w:tab w:val="left" w:pos="36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color w:val="4F6228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Além de educativo, o jogo oferece entretenimento ao jogador, proporcionando uma experiência divertida e envolvente por meio de desafios e interações dinâmicas.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Métodos 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A abordagem de jogos educativos tem se destacado como uma estratégia eficaz para promover a conscientização e o engajamento do público em relação aos incêndios florestais, especialmente entre os mais jovens. Esta fundamentação teórica baseia-se em teorias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de aprendizagem ativa e participativa, que valorizam a experiência prática e o envolvimento direto dos indivíduos na construção do conhecimento. Alguns métodos que serão utilizados para atingir esse objetivo são: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Engajamento: Os jogos são naturalmente envolventes e podem capturar a atenção dos alunos de uma forma que os métodos tradicionais de ensino muitas vezes não conseguem.</w:t>
            </w:r>
          </w:p>
          <w:p w:rsidR="00D330E7" w:rsidRDefault="004C1D24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Aprendizagem Ativa: Os jogos oferecem oportunidades para a aprendizagem ativa, onde os a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lunos participam ativamente na resolução de problemas, tomada de decisões e exploração de conceitos.</w:t>
            </w:r>
          </w:p>
          <w:p w:rsidR="00D330E7" w:rsidRDefault="004C1D24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Motivação Intrínseca: Os jogos são intrinsecamente motivadores e podem incentivar os alunos a persistir em face de desafios difíceis, pois eles estão motiv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ados pela diversão e pela vontade de superar obstáculos.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Resultados (ou resultados esperados)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Aumento da Conscientização Ambiental: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Espera-se que a utilização de "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" como ferramenta educacional resulte em um aumento significativo da conscientização ambiental entre o público-alvo. Isso inclui uma compreensão mais profunda dos impactos das queimadas florestais no meio ambient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e, bem como a importância da preservação das florestas para a manutenção do equilíbrio ecológico.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Interesse do Público-Alvo: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Espera-se que "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" desperte um interesse significativo entre o público-alvo, que inclui crianças, adolescentes e joven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s adultos. O jogo foi projetado de forma a ser cativante e envolvente, utilizando elementos de entretenimento para atrair a atenção dos jogadores. A experiência interativa oferecida, visa a aprendizagem sobre as questões ambientais.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</w:p>
          <w:p w:rsidR="00D330E7" w:rsidRDefault="004C1D24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Contribuição para as O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DS: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D330E7" w:rsidRDefault="004C1D24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 utilização de "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" contribuirá para o alcance dos Objetivos de Desenvolvimento Sustentável (ODS), em particular os ODS 13 (Ação Contra a Mudança Global do Clima) e 15 (Vida Terrestre). Ao aumentar a conscientização ambiental e promover um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a compreensão das questões relacionadas às queimadas florestais, o jogo apoia diretamente os esforços globais para combater as mudanças climáticas e proteger os ecossistemas terrestres. Além disso, ao envolver o público-alvo na preservação das florestas, "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" contribui para a realização de metas relacionadas à conservação da biodiversidade e dos recursos naturais, conforme estabelecido pelas Nações Unidas.</w:t>
            </w:r>
          </w:p>
          <w:p w:rsidR="00D330E7" w:rsidRDefault="00D330E7">
            <w:pPr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Considerações finais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</w:p>
          <w:p w:rsidR="00D330E7" w:rsidRDefault="004C1D24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"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ReFirestation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" destaca-se como uma ferramenta educacional ao integrar entretenimento e educação ambiental, abordando o tema das queimadas florestais. Este projeto tem como objetivo conscientizar sobre a importância da preservação das florestas e promover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uma compreensão eficaz das estratégias de combate às queimadas. Alinhado aos Objetivos de Desenvolvimento Sustentável (ODS) 13 e 15, busca-se como resultado uma maior conscientização ambiental e engajamento da sociedade na proteção dos ecossistemas florest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ais.</w:t>
            </w:r>
          </w:p>
          <w:p w:rsidR="00D330E7" w:rsidRDefault="00D330E7">
            <w:pPr>
              <w:tabs>
                <w:tab w:val="left" w:pos="360"/>
              </w:tabs>
              <w:suppressAutoHyphens/>
              <w:spacing w:after="0" w:line="240" w:lineRule="auto"/>
              <w:jc w:val="both"/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Referências 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REFERÊNCIAS UTILIZADAS PARA O DESENVOLVIMENTO DO JOGO:</w:t>
            </w:r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Stone Monster. Disponível em: </w:t>
            </w:r>
            <w:hyperlink r:id="rId5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https://assetstore.unity.com/packages/3d/characters/stone-monster-101433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Forest. Disponível em: </w:t>
            </w:r>
            <w:hyperlink r:id="rId6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https://assetstore.unity.com/packages/3d/environments/landscapes/free-low-poly-nature-forest-205742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Pack. Disponível em: </w:t>
            </w:r>
            <w:hyperlink r:id="rId7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https://assetstore.unity.com/packages/3d/vegetation/trees/low-poly-tree-pack-57866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Fantasy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Skybox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Disponível em: </w:t>
            </w:r>
            <w:hyperlink r:id="rId8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</w:t>
              </w:r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/assetstore.unity.com/packages/2d/textures-materials/sky/fantasy-skybox-free-18353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Simple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Pack. Disponível em: </w:t>
            </w:r>
            <w:hyperlink r:id="rId9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https://assetstore.unity.com/packages/3d/environments/landscapes/low-poly-simple-nature-pack-162153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Guns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Guns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Pack. Disponível em: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https://assetstore.unity.com/packages/3d/props/weapons/3d-guns-guns-pack-228975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371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Simple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Buttons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Pack. Disponível em: </w:t>
            </w:r>
            <w:hyperlink r:id="rId11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https://a</w:t>
              </w:r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ssetstore.unity.com/packages/2d/gui/icons/371-simple-buttons-pack-97516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Creative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Commons. Disponível em: </w:t>
            </w:r>
            <w:hyperlink r:id="rId12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https://creativecommons.org/share-your-work/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Freesound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Disponível em: </w:t>
            </w:r>
            <w:hyperlink r:id="rId13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https://freesound.org/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Freesound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Música por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Leonard.B.Blaesing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. Com Licença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Attribution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4.0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Disponível em: </w:t>
            </w:r>
            <w:hyperlink r:id="rId14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https://freesound.org/</w:t>
              </w:r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people/Leonard.B.Blaesing/sounds/527314/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Freesound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Som por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Mrthenoronha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Com Licença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Attribution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4.0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Disponível em: </w:t>
            </w: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hyperlink r:id="rId15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https://freesound.org/people/Mrthenoronha/soun</w:t>
              </w:r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ds/506670/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REFERÊNCIAS PARA O PROJETO:</w:t>
            </w:r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Árvore Educação. Jogos na Educação. Disponível em: </w:t>
            </w:r>
            <w:bookmarkStart w:id="0" w:name="_GoBack"/>
            <w:r w:rsidRPr="004C1D24">
              <w:rPr>
                <w:u w:val="single"/>
              </w:rPr>
              <w:fldChar w:fldCharType="begin"/>
            </w:r>
            <w:r w:rsidRPr="004C1D24">
              <w:rPr>
                <w:u w:val="single"/>
              </w:rPr>
              <w:instrText xml:space="preserve"> HYPERLINK "https://www.arvore.com.br/blog/jogos-na-educacao" \l ":~:text=O%20jogo%20pode%20ser%20lido,de%20forma%20espont%C3%A2nea%2C%20com%20autonomia" \h </w:instrText>
            </w:r>
            <w:r w:rsidRPr="004C1D24">
              <w:rPr>
                <w:u w:val="single"/>
              </w:rPr>
              <w:fldChar w:fldCharType="separate"/>
            </w:r>
            <w:r w:rsidRPr="004C1D24">
              <w:rPr>
                <w:rFonts w:ascii="Arial" w:eastAsia="Arial" w:hAnsi="Arial" w:cs="Arial"/>
                <w:color w:val="0000FF"/>
                <w:sz w:val="20"/>
                <w:u w:val="single"/>
              </w:rPr>
              <w:t>https://www.arvore.com.br/blog/jogos-na-educacao#:~:text=O%20jogo%20pode%20ser%20lido,de%20forma%20espont%C3%A2nea%2C%20com%20autonomia</w:t>
            </w:r>
            <w:r w:rsidRPr="004C1D24">
              <w:rPr>
                <w:rFonts w:ascii="Arial" w:eastAsia="Arial" w:hAnsi="Arial" w:cs="Arial"/>
                <w:color w:val="0000FF"/>
                <w:sz w:val="20"/>
                <w:u w:val="single"/>
              </w:rPr>
              <w:fldChar w:fldCharType="end"/>
            </w:r>
            <w:bookmarkEnd w:id="0"/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Educação Pública. A Utilização de Jogos como Ferramenta Auxiliar no Ensino da Matemática. Disponível em: </w:t>
            </w:r>
            <w:hyperlink r:id="rId16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https://educacaopublica.cecierj.edu.br/artigos/21/42/a-utilizacao-de-jogos-como-ferramenta-auxiliar-no-ensino-da-matematica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</w:t>
            </w:r>
            <w:r>
              <w:rPr>
                <w:rFonts w:ascii="Arial" w:eastAsia="Arial" w:hAnsi="Arial" w:cs="Arial"/>
                <w:sz w:val="20"/>
              </w:rPr>
              <w:t xml:space="preserve">ções Unidas. Objetivos de Desenvolvimento Sustentável. Disponível em: </w:t>
            </w:r>
            <w:hyperlink r:id="rId17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https://www.un.org/sustainabledevelopment/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Nações Unidas no Brasil. ODS 15 - Vida Terrestre. Disponível em: </w:t>
            </w:r>
            <w:hyperlink r:id="rId18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https://brasil.un.org/pt-br/sdgs/15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Nações Unidas no Brasil. ODS 13 - Ação Contra a Mudança Global do Clima. Disponível em: </w:t>
            </w:r>
            <w:hyperlink r:id="rId19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https://brasil.un.org/pt-br/sdgs/13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Agência Brasil. Área queimada no Brasil cresce 248% em relação a janeiro de 2023. Disponível em: </w:t>
            </w:r>
            <w:hyperlink r:id="rId20" w:anchor=":~:text=Desse%20total%2C%20941%20hectares%20(91,o%20Pantanal%2C%20com%2040.626%20hectares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https://agenciabrasil.ebc.com.br/geral/noticia/2024-02/area-queimada-no-brasil-cresce-248-em-relacao-janeiro-de-2023#:~:text=Desse%20total%2C%20941%20hectares%20(91,o%20Pantanal%2C%20</w:t>
              </w:r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com%2040.626%20hectares</w:t>
              </w:r>
            </w:hyperlink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Agrolink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2024: mês de fevereiro registra recorde histórico de queimadas. Disponível em: </w:t>
            </w:r>
            <w:hyperlink r:id="rId21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https://www</w:t>
              </w:r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.agrolink.com.br/noticias/2024--mes-de-fevereiro-registra-recorde-historico-de-queimadas_488691.html</w:t>
              </w:r>
            </w:hyperlink>
          </w:p>
          <w:p w:rsidR="00D330E7" w:rsidRDefault="004C1D24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</w:p>
          <w:p w:rsidR="00D330E7" w:rsidRDefault="00D330E7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200" w:line="276" w:lineRule="auto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D330E7" w:rsidRDefault="004C1D24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ANEXO I</w:t>
      </w:r>
    </w:p>
    <w:p w:rsidR="00D330E7" w:rsidRDefault="00D330E7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  <w:jc w:val="both"/>
            </w:pPr>
            <w:hyperlink r:id="rId22">
              <w:r>
                <w:rPr>
                  <w:rFonts w:ascii="Arial" w:eastAsia="Arial" w:hAnsi="Arial" w:cs="Arial"/>
                  <w:color w:val="4F6228"/>
                  <w:sz w:val="20"/>
                  <w:u w:val="single"/>
                  <w:shd w:val="clear" w:color="auto" w:fill="FFFFFF"/>
                </w:rPr>
                <w:t>https://www.canva.com/design/DAGFZAiE4pc/X-MOsl7vFPeSQAnA85Psuw/edit</w:t>
              </w:r>
            </w:hyperlink>
          </w:p>
        </w:tc>
      </w:tr>
    </w:tbl>
    <w:p w:rsidR="00D330E7" w:rsidRDefault="00D330E7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D330E7" w:rsidRDefault="00D330E7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6398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>Revistas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>Link:</w:t>
            </w:r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CAMINHO ABERTO: REVISTA DE EXTENSÃO DO IFSC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hyperlink r:id="rId23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https://periodicos.ifsc.edu.br/index.php/caminhoaberto/index</w:t>
              </w:r>
            </w:hyperlink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EXTRAMUROS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hyperlink r:id="rId24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https://www.periodicos.univasf.edu.br/index.php/extramuros</w:t>
              </w:r>
            </w:hyperlink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REVISTA BRASILEIRA DE EXTENSÃO UNIVERSITÁRIA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hyperlink r:id="rId25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https://periodicos.uffs.edu.br/index.php/RBEU/</w:t>
              </w:r>
            </w:hyperlink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REVISTA CIÊNCIA EM EXTENSÃO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hyperlink r:id="rId26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https://ojs.unesp.br/index.php/revista_proex/index</w:t>
              </w:r>
            </w:hyperlink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REVISTA DE CULTURA E EXTENSÃO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hyperlink r:id="rId27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https://www.revistas.usp.br/rce</w:t>
              </w:r>
            </w:hyperlink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REVISTA EXTENSÃO EM AÇÃO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hyperlink r:id="rId28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http:/</w:t>
              </w:r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/periodicos.ufc.br/extensaoemacao</w:t>
              </w:r>
            </w:hyperlink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EXPRESSA EXTENSÃO (UFPEL)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hyperlink r:id="rId29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https://periodicos.ufpel.edu.br/ojs2/index.php/expressaextensao/index</w:t>
              </w:r>
            </w:hyperlink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Outras revistas podem ser consultadas em: </w:t>
      </w:r>
    </w:p>
    <w:p w:rsidR="00D330E7" w:rsidRDefault="004C1D24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30">
        <w:r>
          <w:rPr>
            <w:rFonts w:ascii="Arial" w:eastAsia="Arial" w:hAnsi="Arial" w:cs="Arial"/>
            <w:color w:val="0000FF"/>
            <w:sz w:val="20"/>
            <w:u w:val="single"/>
          </w:rPr>
          <w:t>https://www.ufrgs.br/ppggeo/ppggeo/wp-content/uploads/2019/12/QUALIS-NOVO-1.pdf</w:t>
        </w:r>
      </w:hyperlink>
      <w:r>
        <w:rPr>
          <w:rFonts w:ascii="Arial" w:eastAsia="Arial" w:hAnsi="Arial" w:cs="Arial"/>
          <w:sz w:val="20"/>
        </w:rPr>
        <w:t xml:space="preserve"> </w:t>
      </w:r>
    </w:p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0"/>
        <w:gridCol w:w="5717"/>
      </w:tblGrid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>Documentos FECAP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D330E7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33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4C1D24">
            <w:pPr>
              <w:suppressAutoHyphens/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Regulamento das Atividade de Extensão – Bacharelado em Ciência da Computação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E7" w:rsidRDefault="00D330E7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D330E7" w:rsidRDefault="00D330E7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D330E7" w:rsidRDefault="00D330E7">
      <w:pPr>
        <w:suppressAutoHyphens/>
        <w:spacing w:after="200" w:line="276" w:lineRule="auto"/>
        <w:rPr>
          <w:rFonts w:ascii="Calibri" w:eastAsia="Calibri" w:hAnsi="Calibri" w:cs="Calibri"/>
        </w:rPr>
      </w:pPr>
    </w:p>
    <w:sectPr w:rsidR="00D33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4B6"/>
    <w:multiLevelType w:val="multilevel"/>
    <w:tmpl w:val="C0C00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F21990"/>
    <w:multiLevelType w:val="multilevel"/>
    <w:tmpl w:val="D1E6E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BE30E2"/>
    <w:multiLevelType w:val="multilevel"/>
    <w:tmpl w:val="3C142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417E6F"/>
    <w:multiLevelType w:val="multilevel"/>
    <w:tmpl w:val="70921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947DDD"/>
    <w:multiLevelType w:val="multilevel"/>
    <w:tmpl w:val="C5144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76723A"/>
    <w:multiLevelType w:val="multilevel"/>
    <w:tmpl w:val="D848B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1E65B3"/>
    <w:multiLevelType w:val="multilevel"/>
    <w:tmpl w:val="A7AAA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0E3978"/>
    <w:multiLevelType w:val="multilevel"/>
    <w:tmpl w:val="EE34E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9A3308"/>
    <w:multiLevelType w:val="multilevel"/>
    <w:tmpl w:val="F7B212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9F0414"/>
    <w:multiLevelType w:val="multilevel"/>
    <w:tmpl w:val="5C98B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4B5252"/>
    <w:multiLevelType w:val="multilevel"/>
    <w:tmpl w:val="A2E85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197EA0"/>
    <w:multiLevelType w:val="multilevel"/>
    <w:tmpl w:val="1562B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0E7"/>
    <w:rsid w:val="004C1D24"/>
    <w:rsid w:val="00D330E7"/>
    <w:rsid w:val="00D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D21F"/>
  <w15:docId w15:val="{F69D0C02-05A7-4556-9693-5DDAC3EF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sky/fantasy-skybox-free-18353" TargetMode="External"/><Relationship Id="rId13" Type="http://schemas.openxmlformats.org/officeDocument/2006/relationships/hyperlink" Target="https://freesound.org/" TargetMode="External"/><Relationship Id="rId18" Type="http://schemas.openxmlformats.org/officeDocument/2006/relationships/hyperlink" Target="https://brasil.un.org/pt-br/sdgs/15" TargetMode="External"/><Relationship Id="rId26" Type="http://schemas.openxmlformats.org/officeDocument/2006/relationships/hyperlink" Target="https://ojs.unesp.br/index.php/revista_proex/in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grolink.com.br/noticias/2024--mes-de-fevereiro-registra-recorde-historico-de-queimadas_488691.html" TargetMode="External"/><Relationship Id="rId7" Type="http://schemas.openxmlformats.org/officeDocument/2006/relationships/hyperlink" Target="https://assetstore.unity.com/packages/3d/vegetation/trees/low-poly-tree-pack-57866" TargetMode="External"/><Relationship Id="rId12" Type="http://schemas.openxmlformats.org/officeDocument/2006/relationships/hyperlink" Target="https://creativecommons.org/share-your-work/" TargetMode="External"/><Relationship Id="rId17" Type="http://schemas.openxmlformats.org/officeDocument/2006/relationships/hyperlink" Target="https://www.un.org/sustainabledevelopment/" TargetMode="External"/><Relationship Id="rId25" Type="http://schemas.openxmlformats.org/officeDocument/2006/relationships/hyperlink" Target="https://periodicos.uffs.edu.br/index.php/RBE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cacaopublica.cecierj.edu.br/artigos/21/42/a-utilizacao-de-jogos-como-ferramenta-auxiliar-no-ensino-da-matematica" TargetMode="External"/><Relationship Id="rId20" Type="http://schemas.openxmlformats.org/officeDocument/2006/relationships/hyperlink" Target="https://agenciabrasil.ebc.com.br/geral/noticia/2024-02/area-queimada-no-brasil-cresce-248-em-relacao-janeiro-de-2023" TargetMode="External"/><Relationship Id="rId29" Type="http://schemas.openxmlformats.org/officeDocument/2006/relationships/hyperlink" Target="https://periodicos.ufpel.edu.br/ojs2/index.php/expressaextensao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free-low-poly-nature-forest-205742" TargetMode="External"/><Relationship Id="rId11" Type="http://schemas.openxmlformats.org/officeDocument/2006/relationships/hyperlink" Target="https://assetstore.unity.com/packages/2d/gui/icons/371-simple-buttons-pack-97516" TargetMode="External"/><Relationship Id="rId24" Type="http://schemas.openxmlformats.org/officeDocument/2006/relationships/hyperlink" Target="https://www.periodicos.univasf.edu.br/index.php/extramuro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ssetstore.unity.com/packages/3d/characters/stone-monster-101433" TargetMode="External"/><Relationship Id="rId15" Type="http://schemas.openxmlformats.org/officeDocument/2006/relationships/hyperlink" Target="https://freesound.org/people/Mrthenoronha/sounds/506670/" TargetMode="External"/><Relationship Id="rId23" Type="http://schemas.openxmlformats.org/officeDocument/2006/relationships/hyperlink" Target="https://periodicos.ifsc.edu.br/index.php/caminhoaberto/index" TargetMode="External"/><Relationship Id="rId28" Type="http://schemas.openxmlformats.org/officeDocument/2006/relationships/hyperlink" Target="http://periodicos.ufc.br/extensaoemacao" TargetMode="External"/><Relationship Id="rId10" Type="http://schemas.openxmlformats.org/officeDocument/2006/relationships/hyperlink" Target="https://assetstore.unity.com/packages/3d/props/weapons/3d-guns-guns-pack-228975" TargetMode="External"/><Relationship Id="rId19" Type="http://schemas.openxmlformats.org/officeDocument/2006/relationships/hyperlink" Target="https://brasil.un.org/pt-br/sdgs/1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landscapes/low-poly-simple-nature-pack-162153" TargetMode="External"/><Relationship Id="rId14" Type="http://schemas.openxmlformats.org/officeDocument/2006/relationships/hyperlink" Target="https://freesound.org/people/Leonard.B.Blaesing/sounds/527314/" TargetMode="External"/><Relationship Id="rId22" Type="http://schemas.openxmlformats.org/officeDocument/2006/relationships/hyperlink" Target="https://www.canva.com/design/DAGFZAiE4pc/X-MOsl7vFPeSQAnA85Psuw/edit" TargetMode="External"/><Relationship Id="rId27" Type="http://schemas.openxmlformats.org/officeDocument/2006/relationships/hyperlink" Target="https://www.revistas.usp.br/rce" TargetMode="External"/><Relationship Id="rId30" Type="http://schemas.openxmlformats.org/officeDocument/2006/relationships/hyperlink" Target="https://www.ufrgs.br/ppggeo/ppggeo/wp-content/uploads/2019/12/QUALIS-NOVO-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2956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Akira Higa Mitami</cp:lastModifiedBy>
  <cp:revision>3</cp:revision>
  <dcterms:created xsi:type="dcterms:W3CDTF">2024-05-24T13:28:00Z</dcterms:created>
  <dcterms:modified xsi:type="dcterms:W3CDTF">2024-05-24T14:03:00Z</dcterms:modified>
</cp:coreProperties>
</file>