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53254" w14:textId="59B8B65A" w:rsidR="00292D9F" w:rsidRDefault="00AE5C14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PROPOSTA</w:t>
      </w:r>
      <w:r w:rsidR="00292D9F">
        <w:rPr>
          <w:rFonts w:ascii="Arial" w:eastAsia="Arial" w:hAnsi="Arial" w:cs="Arial"/>
          <w:b/>
          <w:sz w:val="20"/>
          <w:szCs w:val="20"/>
        </w:rPr>
        <w:t xml:space="preserve">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Pr="00577C4A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577C4A" w:rsidRPr="00577C4A" w14:paraId="7778DFE2" w14:textId="77777777" w:rsidTr="00292D9F">
        <w:tc>
          <w:tcPr>
            <w:tcW w:w="9356" w:type="dxa"/>
          </w:tcPr>
          <w:p w14:paraId="10BE8173" w14:textId="69CB7DBB" w:rsidR="00292D9F" w:rsidRPr="00577C4A" w:rsidRDefault="00B84454" w:rsidP="00F26D0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577C4A">
              <w:rPr>
                <w:rFonts w:ascii="Arial" w:eastAsia="Arial" w:hAnsi="Arial" w:cs="Arial"/>
                <w:sz w:val="20"/>
                <w:szCs w:val="20"/>
              </w:rPr>
              <w:t>Endless</w:t>
            </w:r>
            <w:proofErr w:type="spellEnd"/>
            <w:r w:rsidRPr="00577C4A">
              <w:rPr>
                <w:rFonts w:ascii="Arial" w:eastAsia="Arial" w:hAnsi="Arial" w:cs="Arial"/>
                <w:sz w:val="20"/>
                <w:szCs w:val="20"/>
              </w:rPr>
              <w:t xml:space="preserve"> Runner com </w:t>
            </w:r>
            <w:r w:rsidR="002C62B7" w:rsidRPr="00577C4A">
              <w:rPr>
                <w:rFonts w:ascii="Arial" w:eastAsia="Arial" w:hAnsi="Arial" w:cs="Arial"/>
                <w:sz w:val="20"/>
                <w:szCs w:val="20"/>
              </w:rPr>
              <w:t>a temática de alimentação saudável.</w:t>
            </w:r>
          </w:p>
        </w:tc>
      </w:tr>
    </w:tbl>
    <w:p w14:paraId="7331C966" w14:textId="77777777" w:rsidR="00292D9F" w:rsidRPr="00577C4A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8084843" w14:textId="77777777" w:rsidR="00292D9F" w:rsidRPr="00577C4A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577C4A"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577C4A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sz w:val="20"/>
          <w:szCs w:val="20"/>
        </w:rPr>
      </w:pPr>
      <w:r w:rsidRPr="00577C4A">
        <w:rPr>
          <w:rFonts w:ascii="Arial" w:eastAsia="Arial" w:hAnsi="Arial" w:cs="Arial"/>
          <w:b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577C4A" w:rsidRPr="00577C4A" w14:paraId="500CCEF6" w14:textId="77777777" w:rsidTr="00F26D06">
        <w:tc>
          <w:tcPr>
            <w:tcW w:w="6675" w:type="dxa"/>
            <w:shd w:val="clear" w:color="auto" w:fill="auto"/>
          </w:tcPr>
          <w:p w14:paraId="4D608150" w14:textId="77777777" w:rsidR="00292D9F" w:rsidRPr="00577C4A" w:rsidRDefault="00292D9F" w:rsidP="00F26D0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77C4A"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Pr="00577C4A" w:rsidRDefault="00292D9F" w:rsidP="00F26D0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Pr="00577C4A" w:rsidRDefault="00292D9F" w:rsidP="00F26D0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77C4A"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577C4A" w:rsidRPr="00577C4A" w14:paraId="3CA6BAAB" w14:textId="77777777" w:rsidTr="00F26D06">
        <w:tc>
          <w:tcPr>
            <w:tcW w:w="6675" w:type="dxa"/>
            <w:shd w:val="clear" w:color="auto" w:fill="auto"/>
          </w:tcPr>
          <w:p w14:paraId="166C833E" w14:textId="325C667B" w:rsidR="00292D9F" w:rsidRPr="00577C4A" w:rsidRDefault="002C62B7" w:rsidP="00F26D0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577C4A">
              <w:rPr>
                <w:rFonts w:ascii="Arial" w:eastAsia="Arial" w:hAnsi="Arial" w:cs="Arial"/>
                <w:sz w:val="20"/>
                <w:szCs w:val="20"/>
              </w:rPr>
              <w:t>Guilhermy</w:t>
            </w:r>
            <w:proofErr w:type="spellEnd"/>
            <w:r w:rsidRPr="00577C4A">
              <w:rPr>
                <w:rFonts w:ascii="Arial" w:eastAsia="Arial" w:hAnsi="Arial" w:cs="Arial"/>
                <w:sz w:val="20"/>
                <w:szCs w:val="20"/>
              </w:rPr>
              <w:t xml:space="preserve"> Mariano Lisboa Garcia</w:t>
            </w:r>
          </w:p>
          <w:p w14:paraId="5BF3AD20" w14:textId="77777777" w:rsidR="00292D9F" w:rsidRPr="00577C4A" w:rsidRDefault="00292D9F" w:rsidP="00F26D0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E458908" w14:textId="2F51DBD6" w:rsidR="00292D9F" w:rsidRPr="00577C4A" w:rsidRDefault="002C62B7" w:rsidP="00F26D0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77C4A">
              <w:rPr>
                <w:rFonts w:ascii="Arial" w:eastAsia="Arial" w:hAnsi="Arial" w:cs="Arial"/>
                <w:sz w:val="20"/>
                <w:szCs w:val="20"/>
              </w:rPr>
              <w:t>23025371</w:t>
            </w:r>
          </w:p>
        </w:tc>
      </w:tr>
      <w:tr w:rsidR="00577C4A" w:rsidRPr="00577C4A" w14:paraId="48C646FB" w14:textId="77777777" w:rsidTr="00B149E2">
        <w:trPr>
          <w:trHeight w:val="393"/>
        </w:trPr>
        <w:tc>
          <w:tcPr>
            <w:tcW w:w="6675" w:type="dxa"/>
            <w:shd w:val="clear" w:color="auto" w:fill="auto"/>
          </w:tcPr>
          <w:p w14:paraId="329222F2" w14:textId="441FE399" w:rsidR="00292D9F" w:rsidRPr="00577C4A" w:rsidRDefault="002C62B7" w:rsidP="00F26D0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77C4A">
              <w:rPr>
                <w:rFonts w:ascii="Arial" w:eastAsia="Arial" w:hAnsi="Arial" w:cs="Arial"/>
                <w:sz w:val="20"/>
                <w:szCs w:val="20"/>
              </w:rPr>
              <w:t>Gustavo Bernardi Rodrigues</w:t>
            </w:r>
          </w:p>
          <w:p w14:paraId="2972D884" w14:textId="77777777" w:rsidR="002C62B7" w:rsidRPr="00577C4A" w:rsidRDefault="002C62B7" w:rsidP="00F26D0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35E90DE1" w14:textId="66B0465A" w:rsidR="00292D9F" w:rsidRPr="00577C4A" w:rsidRDefault="002C62B7" w:rsidP="00F26D0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77C4A">
              <w:rPr>
                <w:rFonts w:ascii="Arial" w:eastAsia="Arial" w:hAnsi="Arial" w:cs="Arial"/>
                <w:sz w:val="20"/>
                <w:szCs w:val="20"/>
              </w:rPr>
              <w:t>24026339</w:t>
            </w:r>
          </w:p>
        </w:tc>
      </w:tr>
      <w:tr w:rsidR="00577C4A" w:rsidRPr="00577C4A" w14:paraId="10933BB0" w14:textId="77777777" w:rsidTr="00F26D06">
        <w:tc>
          <w:tcPr>
            <w:tcW w:w="6675" w:type="dxa"/>
            <w:shd w:val="clear" w:color="auto" w:fill="auto"/>
          </w:tcPr>
          <w:p w14:paraId="3D6D2635" w14:textId="77777777" w:rsidR="002C62B7" w:rsidRPr="00577C4A" w:rsidRDefault="00B149E2" w:rsidP="002C62B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577C4A">
              <w:rPr>
                <w:rFonts w:ascii="Arial" w:eastAsia="Arial" w:hAnsi="Arial" w:cs="Arial"/>
                <w:sz w:val="20"/>
                <w:szCs w:val="20"/>
              </w:rPr>
              <w:t>Kamila</w:t>
            </w:r>
            <w:proofErr w:type="spellEnd"/>
            <w:r w:rsidRPr="00577C4A">
              <w:rPr>
                <w:rFonts w:ascii="Arial" w:eastAsia="Arial" w:hAnsi="Arial" w:cs="Arial"/>
                <w:sz w:val="20"/>
                <w:szCs w:val="20"/>
              </w:rPr>
              <w:t xml:space="preserve"> da Silva Santos</w:t>
            </w:r>
          </w:p>
          <w:p w14:paraId="39CC8453" w14:textId="509AEC15" w:rsidR="00B149E2" w:rsidRPr="00577C4A" w:rsidRDefault="00B149E2" w:rsidP="002C62B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5FD46D4" w14:textId="6A9DA760" w:rsidR="002C62B7" w:rsidRPr="00577C4A" w:rsidRDefault="002C62B7" w:rsidP="002C62B7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77C4A">
              <w:rPr>
                <w:rFonts w:ascii="Arial" w:eastAsia="Arial" w:hAnsi="Arial" w:cs="Arial"/>
                <w:sz w:val="20"/>
                <w:szCs w:val="20"/>
              </w:rPr>
              <w:t>24026235</w:t>
            </w:r>
          </w:p>
        </w:tc>
      </w:tr>
      <w:tr w:rsidR="00577C4A" w:rsidRPr="00577C4A" w14:paraId="122177DC" w14:textId="77777777" w:rsidTr="00F26D06">
        <w:tc>
          <w:tcPr>
            <w:tcW w:w="6675" w:type="dxa"/>
            <w:shd w:val="clear" w:color="auto" w:fill="auto"/>
          </w:tcPr>
          <w:p w14:paraId="7B658E66" w14:textId="665F4616" w:rsidR="002C62B7" w:rsidRPr="00577C4A" w:rsidRDefault="002C62B7" w:rsidP="002C62B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77C4A">
              <w:rPr>
                <w:rFonts w:ascii="Arial" w:eastAsia="Arial" w:hAnsi="Arial" w:cs="Arial"/>
                <w:sz w:val="20"/>
                <w:szCs w:val="20"/>
              </w:rPr>
              <w:t>Lavinia de Lima Pires</w:t>
            </w:r>
          </w:p>
          <w:p w14:paraId="0214D97E" w14:textId="77777777" w:rsidR="002C62B7" w:rsidRPr="00577C4A" w:rsidRDefault="002C62B7" w:rsidP="002C62B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4E862C1" w14:textId="03BE98C2" w:rsidR="002C62B7" w:rsidRPr="00577C4A" w:rsidRDefault="002C62B7" w:rsidP="002C62B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77C4A">
              <w:rPr>
                <w:rFonts w:ascii="Arial" w:eastAsia="Arial" w:hAnsi="Arial" w:cs="Arial"/>
                <w:sz w:val="20"/>
                <w:szCs w:val="20"/>
              </w:rPr>
              <w:t>24026315</w:t>
            </w:r>
          </w:p>
        </w:tc>
      </w:tr>
    </w:tbl>
    <w:p w14:paraId="28FFF323" w14:textId="77777777" w:rsidR="00292D9F" w:rsidRPr="00577C4A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sz w:val="20"/>
          <w:szCs w:val="20"/>
        </w:rPr>
      </w:pPr>
    </w:p>
    <w:p w14:paraId="7E1F52BD" w14:textId="77777777" w:rsidR="00292D9F" w:rsidRPr="00577C4A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577C4A">
        <w:rPr>
          <w:rFonts w:ascii="Arial" w:eastAsia="Arial" w:hAnsi="Arial" w:cs="Arial"/>
          <w:b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RPr="00577C4A" w14:paraId="6DEBAE23" w14:textId="77777777" w:rsidTr="00F26D06">
        <w:tc>
          <w:tcPr>
            <w:tcW w:w="9435" w:type="dxa"/>
          </w:tcPr>
          <w:p w14:paraId="12B61260" w14:textId="5130209B" w:rsidR="00292D9F" w:rsidRPr="00577C4A" w:rsidRDefault="00B149E2" w:rsidP="00F2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77C4A">
              <w:rPr>
                <w:rFonts w:ascii="Arial" w:eastAsia="Arial" w:hAnsi="Arial" w:cs="Arial"/>
                <w:sz w:val="20"/>
                <w:szCs w:val="20"/>
              </w:rPr>
              <w:t>Professor Fabiano Onça</w:t>
            </w:r>
            <w:r w:rsidR="00400BFA" w:rsidRPr="00577C4A">
              <w:rPr>
                <w:rFonts w:ascii="Arial" w:eastAsia="Arial" w:hAnsi="Arial" w:cs="Arial"/>
                <w:sz w:val="20"/>
                <w:szCs w:val="20"/>
              </w:rPr>
              <w:t xml:space="preserve"> e Gilles Pedrosa Leite</w:t>
            </w:r>
          </w:p>
        </w:tc>
      </w:tr>
    </w:tbl>
    <w:p w14:paraId="05845693" w14:textId="77777777" w:rsidR="00292D9F" w:rsidRPr="00577C4A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40FA0192" w14:textId="77777777" w:rsidR="00292D9F" w:rsidRPr="00577C4A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577C4A">
        <w:rPr>
          <w:rFonts w:ascii="Arial" w:eastAsia="Arial" w:hAnsi="Arial" w:cs="Arial"/>
          <w:b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RPr="00577C4A" w14:paraId="739E0DD9" w14:textId="77777777" w:rsidTr="00F26D06">
        <w:tc>
          <w:tcPr>
            <w:tcW w:w="9435" w:type="dxa"/>
          </w:tcPr>
          <w:p w14:paraId="521B1268" w14:textId="6472C517" w:rsidR="00292D9F" w:rsidRPr="00577C4A" w:rsidRDefault="00B149E2" w:rsidP="00F2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77C4A">
              <w:rPr>
                <w:rFonts w:ascii="Arial" w:eastAsia="Arial" w:hAnsi="Arial" w:cs="Arial"/>
                <w:sz w:val="20"/>
                <w:szCs w:val="20"/>
              </w:rPr>
              <w:t>Ciência da Computação</w:t>
            </w:r>
          </w:p>
        </w:tc>
      </w:tr>
    </w:tbl>
    <w:p w14:paraId="11863785" w14:textId="77777777" w:rsidR="00292D9F" w:rsidRPr="00577C4A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650C9C31" w14:textId="77777777" w:rsidR="00292D9F" w:rsidRPr="00577C4A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577C4A"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77C4A">
        <w:rPr>
          <w:rFonts w:ascii="Arial Unicode MS" w:eastAsia="Arial Unicode MS" w:hAnsi="Arial Unicode MS" w:cs="Arial Unicode MS"/>
          <w:b/>
          <w:sz w:val="16"/>
          <w:szCs w:val="16"/>
        </w:rPr>
        <w:t>Identificar com ✓ uma ou mais linhas de atuação conforme</w:t>
      </w:r>
      <w:r w:rsidRPr="00577C4A">
        <w:t xml:space="preserve"> </w:t>
      </w:r>
      <w:r w:rsidR="005C5BD0" w:rsidRPr="00577C4A">
        <w:rPr>
          <w:rFonts w:ascii="Arial" w:eastAsia="Arial" w:hAnsi="Arial" w:cs="Arial"/>
          <w:b/>
          <w:sz w:val="16"/>
          <w:szCs w:val="16"/>
        </w:rPr>
        <w:t>projeto pedagógico de curso.</w:t>
      </w:r>
      <w:r w:rsidRPr="00577C4A">
        <w:rPr>
          <w:rFonts w:ascii="Arial" w:eastAsia="Arial" w:hAnsi="Arial" w:cs="Arial"/>
          <w:b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F26D06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64405BDF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11424">
              <w:rPr>
                <w:rFonts w:ascii="Arial" w:eastAsia="Arial" w:hAnsi="Arial" w:cs="Arial"/>
                <w:color w:val="000000"/>
                <w:sz w:val="20"/>
                <w:szCs w:val="20"/>
              </w:rPr>
              <w:t>Jogos Digitais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446D6" w14:textId="72DDB5EA" w:rsidR="00292D9F" w:rsidRPr="00B149E2" w:rsidRDefault="00B149E2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 w:rsidRPr="00B149E2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36"/>
                <w:szCs w:val="36"/>
              </w:rPr>
              <w:t>✓</w:t>
            </w: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77C4A">
        <w:rPr>
          <w:rFonts w:ascii="Arial Unicode MS" w:eastAsia="Arial Unicode MS" w:hAnsi="Arial Unicode MS" w:cs="Arial Unicode MS"/>
          <w:b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F26D06">
        <w:tc>
          <w:tcPr>
            <w:tcW w:w="4515" w:type="dxa"/>
          </w:tcPr>
          <w:p w14:paraId="406312F8" w14:textId="78D151D8" w:rsidR="00292D9F" w:rsidRDefault="00292D9F" w:rsidP="00127E5B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  <w:r w:rsidR="00127E5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33DB8CF6" w14:textId="06A793A7" w:rsidR="00292D9F" w:rsidRDefault="00B149E2" w:rsidP="00127E5B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>2- Fome Zero</w:t>
            </w:r>
            <w:r w:rsidR="00127E5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27E5B"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08BB7D2E" w14:textId="7F40ED02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Bem Estar</w:t>
            </w:r>
            <w:proofErr w:type="gramEnd"/>
            <w:r w:rsidR="00127E5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27E5B"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F26D06">
        <w:tc>
          <w:tcPr>
            <w:tcW w:w="9450" w:type="dxa"/>
          </w:tcPr>
          <w:p w14:paraId="5B651929" w14:textId="46462F58" w:rsidR="00292D9F" w:rsidRPr="0043319B" w:rsidRDefault="005C5BD0" w:rsidP="0043319B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3319B"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 w:rsidRPr="0043319B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079BF9CF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F26D06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8512" w14:textId="77777777" w:rsidR="00292D9F" w:rsidRDefault="001706CB" w:rsidP="00F2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1706CB">
              <w:rPr>
                <w:rFonts w:ascii="Arial" w:eastAsia="Arial" w:hAnsi="Arial" w:cs="Arial"/>
                <w:sz w:val="20"/>
                <w:szCs w:val="20"/>
              </w:rPr>
              <w:t>Tecnologia Nutritiva: Combatendo Desigualdades Socioeconômicas com Alimentação Saudável</w:t>
            </w:r>
          </w:p>
          <w:p w14:paraId="67DCCDB8" w14:textId="63B26365" w:rsidR="001706CB" w:rsidRPr="001706CB" w:rsidRDefault="001706CB" w:rsidP="00F2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1706CB">
              <w:rPr>
                <w:rFonts w:ascii="Arial" w:eastAsia="Arial" w:hAnsi="Arial" w:cs="Arial"/>
                <w:sz w:val="20"/>
                <w:szCs w:val="20"/>
              </w:rPr>
              <w:t>A tecnologia nutritiva é uma abordagem inovadora que utiliza soluções digitais para promover a alimentação saudável e combater a desigualdade socioeconômica. Através de aplicativos educativos, sistemas de entrega de alimentos frescos e programas de capacitação digital, essa tecnologia busca fornecer acesso equitativo a informações e recursos alimentares, alinhando-se aos objetivos da ODS, como saúde e bem-estar, fome zero e redução das desigualdades.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bookmarkStart w:id="0" w:name="_GoBack"/>
      <w:bookmarkEnd w:id="0"/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RPr="00577C4A" w14:paraId="749E1F19" w14:textId="77777777" w:rsidTr="00F26D06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6C707" w14:textId="485D6E0B" w:rsidR="00292D9F" w:rsidRPr="00577C4A" w:rsidRDefault="00B149E2" w:rsidP="00F2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77C4A">
              <w:rPr>
                <w:rFonts w:ascii="Arial" w:eastAsia="Arial" w:hAnsi="Arial" w:cs="Arial"/>
                <w:sz w:val="20"/>
                <w:szCs w:val="20"/>
              </w:rPr>
              <w:t xml:space="preserve">O jogo </w:t>
            </w:r>
            <w:r w:rsidR="00AA5149" w:rsidRPr="00577C4A">
              <w:rPr>
                <w:rFonts w:ascii="Arial" w:eastAsia="Arial" w:hAnsi="Arial" w:cs="Arial"/>
                <w:sz w:val="20"/>
                <w:szCs w:val="20"/>
              </w:rPr>
              <w:t>promove uma reflexão a respeito da quantidade de comida disponível no mundo e principalmente, sobre a quantidade de comida saudável disponível em determinadas regiões.</w:t>
            </w:r>
            <w:r w:rsidR="00292D9F" w:rsidRPr="00577C4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711BEDD4" w14:textId="77777777" w:rsidR="00292D9F" w:rsidRPr="00577C4A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F26D06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050B6164" w:rsidR="00127E5B" w:rsidRPr="00127E5B" w:rsidRDefault="00577C4A" w:rsidP="00F2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577C4A">
              <w:rPr>
                <w:rFonts w:ascii="Arial" w:eastAsia="Arial" w:hAnsi="Arial" w:cs="Arial"/>
                <w:sz w:val="20"/>
                <w:szCs w:val="20"/>
              </w:rPr>
              <w:t>Um jogo inovador que busca conscientizar sobre desigualdade socioeconômica e hábitos saudáveis, enquanto oferece diversão. O público-alvo abrange desde jovens até adultos preocupados com questões sociais e de saúde. O jogo desafia os jogadores a refletirem sobre suas ações e ações da sociedade, oferecendo uma oportunidade de aprendizado. Em suma, é uma ferramenta para inspirar mudanças positivas e moldar um futuro mais justo e saudável para todos.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77C4A">
        <w:trPr>
          <w:trHeight w:val="914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F1832" w14:textId="169852F5" w:rsidR="00AA5149" w:rsidRPr="00577C4A" w:rsidRDefault="00AA5149" w:rsidP="00F2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77C4A">
              <w:rPr>
                <w:rFonts w:ascii="Arial" w:eastAsia="Arial" w:hAnsi="Arial" w:cs="Arial"/>
                <w:sz w:val="20"/>
                <w:szCs w:val="20"/>
              </w:rPr>
              <w:t xml:space="preserve">Hábitos Alimentares </w:t>
            </w:r>
            <w:r w:rsidR="00577C4A"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Pr="00577C4A">
              <w:rPr>
                <w:rFonts w:ascii="Arial" w:eastAsia="Arial" w:hAnsi="Arial" w:cs="Arial"/>
                <w:sz w:val="20"/>
                <w:szCs w:val="20"/>
              </w:rPr>
              <w:t xml:space="preserve">ão </w:t>
            </w:r>
            <w:r w:rsidR="00577C4A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577C4A">
              <w:rPr>
                <w:rFonts w:ascii="Arial" w:eastAsia="Arial" w:hAnsi="Arial" w:cs="Arial"/>
                <w:sz w:val="20"/>
                <w:szCs w:val="20"/>
              </w:rPr>
              <w:t>audáveis:</w:t>
            </w:r>
          </w:p>
          <w:p w14:paraId="4A6A5BE6" w14:textId="77777777" w:rsidR="00292D9F" w:rsidRPr="00577C4A" w:rsidRDefault="00AA5149" w:rsidP="00F2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77C4A">
              <w:rPr>
                <w:rFonts w:ascii="Arial" w:eastAsia="Arial" w:hAnsi="Arial" w:cs="Arial"/>
                <w:sz w:val="20"/>
                <w:szCs w:val="20"/>
              </w:rPr>
              <w:t>Consumo excessivo de alimentos ultraprocessados, ricos em calorias vazias, gorduras saturadas e açúcares adicionados.</w:t>
            </w:r>
          </w:p>
          <w:p w14:paraId="2BA40464" w14:textId="19BC43B7" w:rsidR="00577C4A" w:rsidRDefault="00577C4A" w:rsidP="00F2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577C4A">
              <w:rPr>
                <w:rFonts w:ascii="Arial" w:eastAsia="Arial" w:hAnsi="Arial" w:cs="Arial"/>
                <w:sz w:val="20"/>
                <w:szCs w:val="20"/>
              </w:rPr>
              <w:t>Falta de alimentos em determinadas regiões do mundo.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F26D06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D5522" w14:textId="77777777" w:rsidR="00F26D06" w:rsidRDefault="00F26D06" w:rsidP="00F2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5F56F2B" w14:textId="3B788183" w:rsidR="001B2151" w:rsidRPr="001B2151" w:rsidRDefault="001B2151" w:rsidP="00F2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B2151">
              <w:rPr>
                <w:rFonts w:ascii="Arial" w:eastAsia="Arial" w:hAnsi="Arial" w:cs="Arial"/>
                <w:sz w:val="20"/>
                <w:szCs w:val="20"/>
              </w:rPr>
              <w:t>Hipótese 1: Implementação de Mensagens Educativas: Se integrarmos mensagens educativas sobre desigualdade socioeconômica e alimentação saudável durante o jogo, os jogadores poderão adquirir conhecimento sobre esses temas enquanto se divertem. Isso pode aumentar sua conscientização e influenciar positivamente seus hábitos alimentares e visão sobre a desigualdade.</w:t>
            </w:r>
          </w:p>
          <w:p w14:paraId="03B67794" w14:textId="77777777" w:rsidR="001B2151" w:rsidRPr="001B2151" w:rsidRDefault="001B2151" w:rsidP="00F2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A1609AA" w14:textId="77777777" w:rsidR="001B2151" w:rsidRPr="001B2151" w:rsidRDefault="001B2151" w:rsidP="00F2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B2151">
              <w:rPr>
                <w:rFonts w:ascii="Arial" w:eastAsia="Arial" w:hAnsi="Arial" w:cs="Arial"/>
                <w:sz w:val="20"/>
                <w:szCs w:val="20"/>
              </w:rPr>
              <w:t>Hipótese 2: Utilização de Recompensas e Incentivos: Se oferecermos recompensas dentro do jogo para os jogadores que escolherem alimentos saudáveis e evitarem os prejudiciais à saúde, isso pode motivá-los a fazer escolhas alimentares mais conscientes. Além disso, a implementação de incentivos virtuais, como conquistas ou rankings, pode aumentar o engajamento dos jogadores.</w:t>
            </w:r>
          </w:p>
          <w:p w14:paraId="0A7D6846" w14:textId="77777777" w:rsidR="001B2151" w:rsidRPr="001B2151" w:rsidRDefault="001B2151" w:rsidP="00F2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3DA4D19B" w14:textId="0170AA9B" w:rsidR="001B2151" w:rsidRPr="001B2151" w:rsidRDefault="001B2151" w:rsidP="00F2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B2151">
              <w:rPr>
                <w:rFonts w:ascii="Arial" w:eastAsia="Arial" w:hAnsi="Arial" w:cs="Arial"/>
                <w:sz w:val="20"/>
                <w:szCs w:val="20"/>
              </w:rPr>
              <w:t>Hipótese 3: Criação de Narrativas Impactantes: Se desenvolvermos narrativas emocionantes e envolventes que destacam os efeitos da desigualdade socioeconômica na alimentação e saúde das comunidades, isso pode sensibilizar os jogadores e levá-los a refletir sobre as questões sociais abordadas no jogo. Narrativas poderosas têm o potencial de criar uma conexão emocional com os jogadores e inspirar mudanças em suas atitudes e comportamentos.</w:t>
            </w:r>
          </w:p>
          <w:p w14:paraId="0699204B" w14:textId="77777777" w:rsidR="00F26D06" w:rsidRDefault="00F26D06" w:rsidP="00F2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73F619D9" w14:textId="50BD3B4F" w:rsidR="00292D9F" w:rsidRDefault="001B2151" w:rsidP="00F2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1B2151">
              <w:rPr>
                <w:rFonts w:ascii="Arial" w:eastAsia="Arial" w:hAnsi="Arial" w:cs="Arial"/>
                <w:sz w:val="20"/>
                <w:szCs w:val="20"/>
              </w:rPr>
              <w:t xml:space="preserve">Hipótese 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Pr="001B2151">
              <w:rPr>
                <w:rFonts w:ascii="Arial" w:eastAsia="Arial" w:hAnsi="Arial" w:cs="Arial"/>
                <w:sz w:val="20"/>
                <w:szCs w:val="20"/>
              </w:rPr>
              <w:t>: Parcerias com Organizações de Saúde e Educação: Se estabelecermos parcerias com organizações de saúde e educação para fornecer informações adicionais e recursos fora do jogo, como dicas de alimentação saudável, acesso a serviços de saúde e programas de educação nutricional, isso pode complementar a experiência do jogo e apoiar os jogadores em suas jornadas de conscientização e mudança de comportamento.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A17C062" w14:textId="77777777" w:rsidR="00292D9F" w:rsidRPr="004812A4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F26D06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46AACF14" w:rsidR="00292D9F" w:rsidRPr="001B2151" w:rsidRDefault="001B2151" w:rsidP="00F26D06">
            <w:pPr>
              <w:spacing w:after="0" w:line="36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1B2151">
              <w:rPr>
                <w:rFonts w:ascii="Arial" w:eastAsia="Arial" w:hAnsi="Arial" w:cs="Arial"/>
                <w:sz w:val="20"/>
                <w:szCs w:val="20"/>
              </w:rPr>
              <w:t>O projeto propõe um jogo de "</w:t>
            </w:r>
            <w:proofErr w:type="spellStart"/>
            <w:r w:rsidRPr="001B2151">
              <w:rPr>
                <w:rFonts w:ascii="Arial" w:eastAsia="Arial" w:hAnsi="Arial" w:cs="Arial"/>
                <w:sz w:val="20"/>
                <w:szCs w:val="20"/>
              </w:rPr>
              <w:t>endless</w:t>
            </w:r>
            <w:proofErr w:type="spellEnd"/>
            <w:r w:rsidRPr="001B215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B2151">
              <w:rPr>
                <w:rFonts w:ascii="Arial" w:eastAsia="Arial" w:hAnsi="Arial" w:cs="Arial"/>
                <w:sz w:val="20"/>
                <w:szCs w:val="20"/>
              </w:rPr>
              <w:t>runner</w:t>
            </w:r>
            <w:proofErr w:type="spellEnd"/>
            <w:r w:rsidRPr="001B2151">
              <w:rPr>
                <w:rFonts w:ascii="Arial" w:eastAsia="Arial" w:hAnsi="Arial" w:cs="Arial"/>
                <w:sz w:val="20"/>
                <w:szCs w:val="20"/>
              </w:rPr>
              <w:t>" onde o jogador pode escolher entre dois mapas, representando regiões com disparidades sociais distintas. A mecânica do jogo oferece diferentes recompensas dependendo da região escolhida. O principal objetivo é realizar uma crítica social por meio da representação da escassez de alimentos em determinadas regiões do mundo, incentivando a alimentação saudável e a preocupação com a saúde por meio de escolhas alimentares mais conscientes.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F26D06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E1125" w14:textId="77777777" w:rsidR="00292D9F" w:rsidRDefault="001B2151" w:rsidP="001B2151">
            <w:pPr>
              <w:spacing w:after="0" w:line="36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1B2151">
              <w:rPr>
                <w:rFonts w:ascii="Arial" w:eastAsia="Arial" w:hAnsi="Arial" w:cs="Arial"/>
                <w:sz w:val="20"/>
                <w:szCs w:val="20"/>
              </w:rPr>
              <w:t xml:space="preserve">A desigualdade socioeconômica e a escassez de alimentos são problemas globais que afetam milhões de pessoas em todo o mundo, contribuindo para a perpetuação do ciclo de pobreza e </w:t>
            </w:r>
            <w:proofErr w:type="spellStart"/>
            <w:r w:rsidRPr="001B2151">
              <w:rPr>
                <w:rFonts w:ascii="Arial" w:eastAsia="Arial" w:hAnsi="Arial" w:cs="Arial"/>
                <w:sz w:val="20"/>
                <w:szCs w:val="20"/>
              </w:rPr>
              <w:t>desfavorecimento</w:t>
            </w:r>
            <w:proofErr w:type="spellEnd"/>
            <w:r w:rsidRPr="001B2151">
              <w:rPr>
                <w:rFonts w:ascii="Arial" w:eastAsia="Arial" w:hAnsi="Arial" w:cs="Arial"/>
                <w:sz w:val="20"/>
                <w:szCs w:val="20"/>
              </w:rPr>
              <w:t xml:space="preserve"> social. A falta de acesso a uma alimentação saudável e nutritiva é um dos principais fatores que contribuem para a má qualidade de vida e a prevalência de doenças relacionadas à nutrição inadequada. Nesse contexto, a utilização de jogos educativos como ferramenta de conscientização e mudança de comportamento tem se mostrado eficaz para abordar questões sociais complexas de forma acessível e envolvente</w:t>
            </w:r>
            <w:r w:rsidRPr="001B2151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.</w:t>
            </w:r>
          </w:p>
          <w:p w14:paraId="0AF40566" w14:textId="77777777" w:rsidR="001B2151" w:rsidRDefault="001B2151" w:rsidP="001B2151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0B959BB" w14:textId="09D351C1" w:rsidR="001B2151" w:rsidRPr="001B2151" w:rsidRDefault="001B2151" w:rsidP="001B2151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B2151">
              <w:rPr>
                <w:rFonts w:ascii="Arial" w:eastAsia="Arial" w:hAnsi="Arial" w:cs="Arial"/>
                <w:sz w:val="20"/>
                <w:szCs w:val="20"/>
              </w:rPr>
              <w:t>O projeto proposto visa desenvolver um jogo de "</w:t>
            </w:r>
            <w:proofErr w:type="spellStart"/>
            <w:r w:rsidRPr="001B2151">
              <w:rPr>
                <w:rFonts w:ascii="Arial" w:eastAsia="Arial" w:hAnsi="Arial" w:cs="Arial"/>
                <w:sz w:val="20"/>
                <w:szCs w:val="20"/>
              </w:rPr>
              <w:t>endless</w:t>
            </w:r>
            <w:proofErr w:type="spellEnd"/>
            <w:r w:rsidRPr="001B215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B2151">
              <w:rPr>
                <w:rFonts w:ascii="Arial" w:eastAsia="Arial" w:hAnsi="Arial" w:cs="Arial"/>
                <w:sz w:val="20"/>
                <w:szCs w:val="20"/>
              </w:rPr>
              <w:t>runner</w:t>
            </w:r>
            <w:proofErr w:type="spellEnd"/>
            <w:r w:rsidRPr="001B2151">
              <w:rPr>
                <w:rFonts w:ascii="Arial" w:eastAsia="Arial" w:hAnsi="Arial" w:cs="Arial"/>
                <w:sz w:val="20"/>
                <w:szCs w:val="20"/>
              </w:rPr>
              <w:t xml:space="preserve">" que explore as disparidades sociais relacionadas à alimentação em diferentes regiões do mundo, destacando a escassez de alimentos em determinadas áreas e incentivando a adoção de hábitos alimentares saudáveis. Esta intervenção é </w:t>
            </w:r>
            <w:r w:rsidRPr="001B2151">
              <w:rPr>
                <w:rFonts w:ascii="Arial" w:eastAsia="Arial" w:hAnsi="Arial" w:cs="Arial"/>
                <w:sz w:val="20"/>
                <w:szCs w:val="20"/>
              </w:rPr>
              <w:lastRenderedPageBreak/>
              <w:t>relevante pois busca sensibilizar os jogadores para questões cruciais relacionadas à desigualdade e saúde, promovendo a reflexão e o engajamento em busca de soluções para esses problemas.</w:t>
            </w:r>
          </w:p>
          <w:p w14:paraId="19FF34EE" w14:textId="77777777" w:rsidR="001B2151" w:rsidRDefault="001B2151" w:rsidP="001B2151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77C9D393" w14:textId="7B2DA728" w:rsidR="001B2151" w:rsidRPr="001B2151" w:rsidRDefault="001B2151" w:rsidP="001B2151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B2151">
              <w:rPr>
                <w:rFonts w:ascii="Arial" w:eastAsia="Arial" w:hAnsi="Arial" w:cs="Arial"/>
                <w:sz w:val="20"/>
                <w:szCs w:val="20"/>
              </w:rPr>
              <w:t>O jogo será uma ferramenta de intervenção que contribuirá para o alcance de diversos Objetivos de Desenvolvimento Sustentável (ODS), em especial o ODS 2 - Fome Zero, ao abordar a escassez de alimentos, e o ODS 3 - Saúde e Bem-Estar, ao promover a adoção de hábitos alimentares mais saudáveis. Além disso, o projeto impactará diretamente as áreas de educação, saúde e redução das desigualdades, contribuindo para a construção de sociedades mais justas e equitativas.</w:t>
            </w:r>
          </w:p>
          <w:p w14:paraId="14C6AB8A" w14:textId="77777777" w:rsidR="001B2151" w:rsidRPr="001B2151" w:rsidRDefault="001B2151" w:rsidP="001B2151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3F0EDBE" w14:textId="24AF7E5D" w:rsidR="001B2151" w:rsidRDefault="001B2151" w:rsidP="001B2151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B2151">
              <w:rPr>
                <w:rFonts w:ascii="Arial" w:eastAsia="Arial" w:hAnsi="Arial" w:cs="Arial"/>
                <w:sz w:val="20"/>
                <w:szCs w:val="20"/>
              </w:rPr>
              <w:t>O referencial teórico para este projeto inclui estudos sobre desigualdade socioeconômica, segurança alimentar, educação em saúde e o uso de jogos como ferramenta de intervenção em questões sociais.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F26D06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51F32" w14:textId="77777777" w:rsidR="001B2151" w:rsidRPr="001B2151" w:rsidRDefault="001B2151" w:rsidP="00F26D06">
            <w:pPr>
              <w:tabs>
                <w:tab w:val="left" w:pos="360"/>
              </w:tabs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B2151">
              <w:rPr>
                <w:rFonts w:ascii="Arial" w:eastAsia="Arial" w:hAnsi="Arial" w:cs="Arial"/>
                <w:sz w:val="20"/>
                <w:szCs w:val="20"/>
              </w:rPr>
              <w:t>Sensibilizar os jogadores para as disparidades sociais relacionadas à alimentação saudável em diferentes regiões do mundo, promovendo a conscientização durante o jogo.</w:t>
            </w:r>
          </w:p>
          <w:p w14:paraId="7E6AAF88" w14:textId="77777777" w:rsidR="001B2151" w:rsidRPr="001B2151" w:rsidRDefault="001B2151" w:rsidP="00F26D06">
            <w:pPr>
              <w:tabs>
                <w:tab w:val="left" w:pos="360"/>
              </w:tabs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DDCE3AC" w14:textId="77777777" w:rsidR="001B2151" w:rsidRPr="001B2151" w:rsidRDefault="001B2151" w:rsidP="00F26D06">
            <w:pPr>
              <w:tabs>
                <w:tab w:val="left" w:pos="360"/>
              </w:tabs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B2151">
              <w:rPr>
                <w:rFonts w:ascii="Arial" w:eastAsia="Arial" w:hAnsi="Arial" w:cs="Arial"/>
                <w:sz w:val="20"/>
                <w:szCs w:val="20"/>
              </w:rPr>
              <w:t>Incentivar a adoção de hábitos alimentares saudáveis por meio da tomada de decisões durante o jogo, buscando refletir escolhas alimentares mais conscientes.</w:t>
            </w:r>
          </w:p>
          <w:p w14:paraId="7E1733A5" w14:textId="77777777" w:rsidR="001B2151" w:rsidRPr="001B2151" w:rsidRDefault="001B2151" w:rsidP="00F26D06">
            <w:pPr>
              <w:tabs>
                <w:tab w:val="left" w:pos="360"/>
              </w:tabs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B252BF0" w14:textId="77777777" w:rsidR="001B2151" w:rsidRPr="001B2151" w:rsidRDefault="001B2151" w:rsidP="00F26D06">
            <w:pPr>
              <w:tabs>
                <w:tab w:val="left" w:pos="360"/>
              </w:tabs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B2151">
              <w:rPr>
                <w:rFonts w:ascii="Arial" w:eastAsia="Arial" w:hAnsi="Arial" w:cs="Arial"/>
                <w:sz w:val="20"/>
                <w:szCs w:val="20"/>
              </w:rPr>
              <w:t>Promover a reflexão sobre a importância da igualdade social na garantia do acesso a uma alimentação adequada, reforçando a compreensão da relação entre desigualdade socioeconômica e segurança alimentar.</w:t>
            </w:r>
          </w:p>
          <w:p w14:paraId="3C137EB7" w14:textId="77777777" w:rsidR="001B2151" w:rsidRPr="001B2151" w:rsidRDefault="001B2151" w:rsidP="00F26D06">
            <w:pPr>
              <w:tabs>
                <w:tab w:val="left" w:pos="360"/>
              </w:tabs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7F92641" w14:textId="52F0F4DE" w:rsidR="00292D9F" w:rsidRDefault="001B2151" w:rsidP="00F26D06">
            <w:pPr>
              <w:tabs>
                <w:tab w:val="left" w:pos="360"/>
              </w:tabs>
              <w:spacing w:after="0" w:line="36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1B2151">
              <w:rPr>
                <w:rFonts w:ascii="Arial" w:eastAsia="Arial" w:hAnsi="Arial" w:cs="Arial"/>
                <w:sz w:val="20"/>
                <w:szCs w:val="20"/>
              </w:rPr>
              <w:t>Estimular o engajamento dos jogadores em ações voltadas para a redução das desigualdades sociais e promoção da saúde, mobilizando-os para iniciativas comunitárias após a experiência no jogo.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F26D06">
        <w:trPr>
          <w:trHeight w:val="7645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33A93C" w14:textId="77777777" w:rsidR="00F26D06" w:rsidRPr="00F26D06" w:rsidRDefault="00F26D06" w:rsidP="00F26D06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26D06">
              <w:rPr>
                <w:rFonts w:ascii="Arial" w:eastAsia="Arial" w:hAnsi="Arial" w:cs="Arial"/>
                <w:sz w:val="20"/>
                <w:szCs w:val="20"/>
              </w:rPr>
              <w:lastRenderedPageBreak/>
              <w:t>A ação extensionista será realizada por meio de uma abordagem participativa e interativa, visando envolver ativamente o público-alvo na experiência do jogo e promover reflexões sobre as questões abordadas. As seguintes estratégias serão empregadas para alcançar os objetivos propostos:</w:t>
            </w:r>
          </w:p>
          <w:p w14:paraId="65F05B21" w14:textId="77777777" w:rsidR="00F26D06" w:rsidRPr="00F26D06" w:rsidRDefault="00F26D06" w:rsidP="00F26D06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0E4F666" w14:textId="3378FBBF" w:rsidR="00F26D06" w:rsidRPr="00F26D06" w:rsidRDefault="00F26D06" w:rsidP="00F26D06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26D06">
              <w:rPr>
                <w:rFonts w:ascii="Arial" w:eastAsia="Arial" w:hAnsi="Arial" w:cs="Arial"/>
                <w:sz w:val="20"/>
                <w:szCs w:val="20"/>
              </w:rPr>
              <w:t>1. Divulgação e Sensibilização: Serão realizadas campanhas de divulgação nas redes sociais, escolas, universidades e comunidades locais para informar sobre o jogo e sua proposta. Isso incluirá a criação de materiais de divulgação como vídeos, posts em redes sociais e panfletos para alcançar um público mais amplo.</w:t>
            </w:r>
          </w:p>
          <w:p w14:paraId="7ACD9918" w14:textId="77777777" w:rsidR="00F26D06" w:rsidRPr="00F26D06" w:rsidRDefault="00F26D06" w:rsidP="00F26D06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3C771917" w14:textId="39E6E71E" w:rsidR="00F26D06" w:rsidRPr="00F26D06" w:rsidRDefault="00F26D06" w:rsidP="00F26D06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26D06">
              <w:rPr>
                <w:rFonts w:ascii="Arial" w:eastAsia="Arial" w:hAnsi="Arial" w:cs="Arial"/>
                <w:sz w:val="20"/>
                <w:szCs w:val="20"/>
              </w:rPr>
              <w:t>2.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F26D06">
              <w:rPr>
                <w:rFonts w:ascii="Arial" w:eastAsia="Arial" w:hAnsi="Arial" w:cs="Arial"/>
                <w:sz w:val="20"/>
                <w:szCs w:val="20"/>
              </w:rPr>
              <w:t>Workshops e Oficinas: Serão organizados workshops e oficinas em escolas, universidades e centros comunitários para apresentar o jogo aos participantes e fornecer informações adicionais sobre desigualdade socioeconômica e hábitos alimentares saudáveis. Durante essas atividades, serão realizadas discussões em grupo e reflexões sobre as temáticas abordadas no jogo.</w:t>
            </w:r>
          </w:p>
          <w:p w14:paraId="400A6C6F" w14:textId="77777777" w:rsidR="00F26D06" w:rsidRPr="00F26D06" w:rsidRDefault="00F26D06" w:rsidP="00F26D06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AEEB96F" w14:textId="424D330C" w:rsidR="00F26D06" w:rsidRPr="00F26D06" w:rsidRDefault="00F26D06" w:rsidP="00F26D06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26D06">
              <w:rPr>
                <w:rFonts w:ascii="Arial" w:eastAsia="Arial" w:hAnsi="Arial" w:cs="Arial"/>
                <w:sz w:val="20"/>
                <w:szCs w:val="20"/>
              </w:rPr>
              <w:t>3. Eventos e Feiras: O jogo será apresentado em eventos e feiras locais relacionados à saúde, educação e desenvolvimento comunitário. Isso proporcionará uma oportunidade para interação direta com o público-alvo e a disseminação da mensagem do jogo para uma audiência diversificada.</w:t>
            </w:r>
          </w:p>
          <w:p w14:paraId="634CD2BB" w14:textId="77777777" w:rsidR="00F26D06" w:rsidRPr="00F26D06" w:rsidRDefault="00F26D06" w:rsidP="00F26D06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53D3012" w14:textId="6B634023" w:rsidR="00F26D06" w:rsidRPr="00F26D06" w:rsidRDefault="00F26D06" w:rsidP="00F26D06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26D06">
              <w:rPr>
                <w:rFonts w:ascii="Arial" w:eastAsia="Arial" w:hAnsi="Arial" w:cs="Arial"/>
                <w:sz w:val="20"/>
                <w:szCs w:val="20"/>
              </w:rPr>
              <w:t>4. Parcerias Institucionais: Serão estabelecidas parcerias com escolas, universidades, organizações da sociedade civil e governamentais para integrar o jogo em programas de educação e sensibilização existentes. Isso ampliará o alcance do projeto e garantirá sua inserção em contextos relevantes e de interesse público.</w:t>
            </w:r>
          </w:p>
          <w:p w14:paraId="6769D7BC" w14:textId="77777777" w:rsidR="00F26D06" w:rsidRPr="00F26D06" w:rsidRDefault="00F26D06" w:rsidP="00F26D06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2992BE6" w14:textId="754BFC34" w:rsidR="00292D9F" w:rsidRDefault="00F26D06" w:rsidP="00F26D06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26D06">
              <w:rPr>
                <w:rFonts w:ascii="Arial" w:eastAsia="Arial" w:hAnsi="Arial" w:cs="Arial"/>
                <w:sz w:val="20"/>
                <w:szCs w:val="20"/>
              </w:rPr>
              <w:t>5. Monitoramento e Avaliação: Será realizado um acompanhamento constante das atividades da ação extensionista, por meio de avaliações periódicas e feedback dos participantes. Isso permitirá ajustes e melhorias contínuas na implementação do projeto, garantindo sua eficácia e relevância para o público-alvo.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C3E81" w14:textId="5C39474C" w:rsidR="00F26D06" w:rsidRPr="00F26D06" w:rsidRDefault="00F26D06" w:rsidP="00F26D06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D265549" w14:textId="77777777" w:rsidR="00F26D06" w:rsidRPr="00F26D06" w:rsidRDefault="00F26D06" w:rsidP="00F26D06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26D06">
              <w:rPr>
                <w:rFonts w:ascii="Arial" w:eastAsia="Arial" w:hAnsi="Arial" w:cs="Arial"/>
                <w:sz w:val="20"/>
                <w:szCs w:val="20"/>
              </w:rPr>
              <w:t>1. Aumento da Conscientização: Espera-se que os jogadores desenvolvam uma maior conscientização sobre as disparidades sociais relacionadas à alimentação saudável em diferentes regiões do mundo, levando a uma compreensão mais profunda das questões de desigualdade alimentar.</w:t>
            </w:r>
          </w:p>
          <w:p w14:paraId="22A2B793" w14:textId="77777777" w:rsidR="00F26D06" w:rsidRPr="00F26D06" w:rsidRDefault="00F26D06" w:rsidP="00F26D06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7694503" w14:textId="77777777" w:rsidR="00F26D06" w:rsidRPr="00F26D06" w:rsidRDefault="00F26D06" w:rsidP="00F26D06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26D06">
              <w:rPr>
                <w:rFonts w:ascii="Arial" w:eastAsia="Arial" w:hAnsi="Arial" w:cs="Arial"/>
                <w:sz w:val="20"/>
                <w:szCs w:val="20"/>
              </w:rPr>
              <w:t>2. Mudança de Comportamento: Prevê-se que os jogadores adotem hábitos alimentares mais saudáveis, baseados nas decisões tomadas durante o jogo, resultando em escolhas alimentares mais conscientes e uma dieta geralmente mais equilibrada.</w:t>
            </w:r>
          </w:p>
          <w:p w14:paraId="7C897048" w14:textId="77777777" w:rsidR="00F26D06" w:rsidRPr="00F26D06" w:rsidRDefault="00F26D06" w:rsidP="00F26D06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3FA58573" w14:textId="77777777" w:rsidR="00F26D06" w:rsidRPr="00F26D06" w:rsidRDefault="00F26D06" w:rsidP="00F26D06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26D06">
              <w:rPr>
                <w:rFonts w:ascii="Arial" w:eastAsia="Arial" w:hAnsi="Arial" w:cs="Arial"/>
                <w:sz w:val="20"/>
                <w:szCs w:val="20"/>
              </w:rPr>
              <w:t>3. Reflexão Crítica: Antecipa-se que os jogadores reflitam sobre a importância da igualdade social na garantia do acesso a uma alimentação adequada, levando a uma compreensão mais ampla das causas e consequências da desigualdade socioeconômica.</w:t>
            </w:r>
          </w:p>
          <w:p w14:paraId="4BFD5A07" w14:textId="77777777" w:rsidR="00F26D06" w:rsidRPr="00F26D06" w:rsidRDefault="00F26D06" w:rsidP="00F26D06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C237526" w14:textId="5173A2CC" w:rsidR="00292D9F" w:rsidRPr="00F26D06" w:rsidRDefault="00F26D06" w:rsidP="00F26D06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26D06">
              <w:rPr>
                <w:rFonts w:ascii="Arial" w:eastAsia="Arial" w:hAnsi="Arial" w:cs="Arial"/>
                <w:sz w:val="20"/>
                <w:szCs w:val="20"/>
              </w:rPr>
              <w:t>4. Engajamento Comunitário: Projetam-se que os jogadores se engajem em ações voltadas para a redução das desigualdades sociais e promoção da saúde em suas comunidades, contribuindo para o desenvolvimento de iniciativas locais e a construção de um ambiente mais inclusivo e equitativo.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F26D06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5DDCF" w14:textId="77777777" w:rsidR="00F26D06" w:rsidRPr="00F26D06" w:rsidRDefault="00F26D06" w:rsidP="00F26D06">
            <w:pPr>
              <w:tabs>
                <w:tab w:val="left" w:pos="360"/>
              </w:tabs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26D06">
              <w:rPr>
                <w:rFonts w:ascii="Arial" w:eastAsia="Arial" w:hAnsi="Arial" w:cs="Arial"/>
                <w:sz w:val="20"/>
                <w:szCs w:val="20"/>
              </w:rPr>
              <w:t>O projeto conseguiu abordar de forma eficaz o problema central relacionado à conscientização sobre desigualdade socioeconômica e hábitos alimentares saudáveis por meio do desenvolvimento de um jogo de "</w:t>
            </w:r>
            <w:proofErr w:type="spellStart"/>
            <w:r w:rsidRPr="00F26D06">
              <w:rPr>
                <w:rFonts w:ascii="Arial" w:eastAsia="Arial" w:hAnsi="Arial" w:cs="Arial"/>
                <w:sz w:val="20"/>
                <w:szCs w:val="20"/>
              </w:rPr>
              <w:t>endless</w:t>
            </w:r>
            <w:proofErr w:type="spellEnd"/>
            <w:r w:rsidRPr="00F26D0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F26D06">
              <w:rPr>
                <w:rFonts w:ascii="Arial" w:eastAsia="Arial" w:hAnsi="Arial" w:cs="Arial"/>
                <w:sz w:val="20"/>
                <w:szCs w:val="20"/>
              </w:rPr>
              <w:t>runner</w:t>
            </w:r>
            <w:proofErr w:type="spellEnd"/>
            <w:r w:rsidRPr="00F26D06">
              <w:rPr>
                <w:rFonts w:ascii="Arial" w:eastAsia="Arial" w:hAnsi="Arial" w:cs="Arial"/>
                <w:sz w:val="20"/>
                <w:szCs w:val="20"/>
              </w:rPr>
              <w:t>". Os objetivos propostos foram alcançados, com os jogadores sendo sensibilizados para as disparidades sociais na alimentação, incentivados a adotar escolhas alimentares mais saudáveis e promovendo reflexões sobre a importância da igualdade social.</w:t>
            </w:r>
          </w:p>
          <w:p w14:paraId="6F2B3A2B" w14:textId="77777777" w:rsidR="00F26D06" w:rsidRPr="00F26D06" w:rsidRDefault="00F26D06" w:rsidP="00F26D06">
            <w:pPr>
              <w:tabs>
                <w:tab w:val="left" w:pos="360"/>
              </w:tabs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8637A15" w14:textId="77777777" w:rsidR="00F26D06" w:rsidRPr="00F26D06" w:rsidRDefault="00F26D06" w:rsidP="00F26D06">
            <w:pPr>
              <w:tabs>
                <w:tab w:val="left" w:pos="360"/>
              </w:tabs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26D06">
              <w:rPr>
                <w:rFonts w:ascii="Arial" w:eastAsia="Arial" w:hAnsi="Arial" w:cs="Arial"/>
                <w:sz w:val="20"/>
                <w:szCs w:val="20"/>
              </w:rPr>
              <w:t>Destacamos que o engajamento dos jogadores e sua mobilização para ações comunitárias foram pontos fortes do projeto, indicando um impacto positivo na conscientização e na promoção de mudanças de comportamento. No entanto, identificamos a necessidade de futuras ações para aprimorar ainda mais esses resultados, como a implementação de estratégias de acompanhamento e avaliação a longo prazo do impacto do jogo nas comunidades.</w:t>
            </w:r>
          </w:p>
          <w:p w14:paraId="4B4F5836" w14:textId="77777777" w:rsidR="00F26D06" w:rsidRPr="00F26D06" w:rsidRDefault="00F26D06" w:rsidP="00F26D06">
            <w:pPr>
              <w:tabs>
                <w:tab w:val="left" w:pos="360"/>
              </w:tabs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C2E73C8" w14:textId="3DF7EEA0" w:rsidR="00292D9F" w:rsidRDefault="00F26D06" w:rsidP="00F26D06">
            <w:pPr>
              <w:tabs>
                <w:tab w:val="left" w:pos="360"/>
              </w:tabs>
              <w:spacing w:after="0" w:line="36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26D06">
              <w:rPr>
                <w:rFonts w:ascii="Arial" w:eastAsia="Arial" w:hAnsi="Arial" w:cs="Arial"/>
                <w:sz w:val="20"/>
                <w:szCs w:val="20"/>
              </w:rPr>
              <w:t>Como direção para futuras ações, recomendamos a continuidade do projeto com atualizações regulares do jogo, integração de novos recursos e parcerias com organizações da sociedade civil e governamentais para ampliar seu alcance e eficácia na promoção da igualdade social e alimentação saudável.</w:t>
            </w:r>
          </w:p>
        </w:tc>
      </w:tr>
    </w:tbl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F26D06">
        <w:tc>
          <w:tcPr>
            <w:tcW w:w="9345" w:type="dxa"/>
          </w:tcPr>
          <w:p w14:paraId="224A0DEF" w14:textId="77777777" w:rsidR="00292D9F" w:rsidRDefault="00292D9F" w:rsidP="00F26D06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F26D06">
        <w:tc>
          <w:tcPr>
            <w:tcW w:w="3037" w:type="dxa"/>
          </w:tcPr>
          <w:p w14:paraId="6ECDFEAC" w14:textId="77777777" w:rsidR="00292D9F" w:rsidRDefault="00292D9F" w:rsidP="00F26D0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F26D0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F26D06">
        <w:tc>
          <w:tcPr>
            <w:tcW w:w="3037" w:type="dxa"/>
          </w:tcPr>
          <w:p w14:paraId="24C8BFAD" w14:textId="77777777" w:rsidR="00292D9F" w:rsidRDefault="00292D9F" w:rsidP="00F26D0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F26D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F26D06">
        <w:tc>
          <w:tcPr>
            <w:tcW w:w="3037" w:type="dxa"/>
          </w:tcPr>
          <w:p w14:paraId="093BD2DB" w14:textId="77777777" w:rsidR="00292D9F" w:rsidRDefault="00292D9F" w:rsidP="00F26D0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F26D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F26D06">
        <w:tc>
          <w:tcPr>
            <w:tcW w:w="3037" w:type="dxa"/>
          </w:tcPr>
          <w:p w14:paraId="0CD938E4" w14:textId="77777777" w:rsidR="00292D9F" w:rsidRDefault="00292D9F" w:rsidP="00F26D0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F26D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F26D06">
        <w:tc>
          <w:tcPr>
            <w:tcW w:w="3037" w:type="dxa"/>
          </w:tcPr>
          <w:p w14:paraId="163A75C5" w14:textId="77777777" w:rsidR="00292D9F" w:rsidRDefault="00292D9F" w:rsidP="00F26D0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F26D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F26D06">
        <w:tc>
          <w:tcPr>
            <w:tcW w:w="3037" w:type="dxa"/>
          </w:tcPr>
          <w:p w14:paraId="59007FAB" w14:textId="77777777" w:rsidR="00292D9F" w:rsidRDefault="00292D9F" w:rsidP="00F26D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F26D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F26D06">
        <w:tc>
          <w:tcPr>
            <w:tcW w:w="3037" w:type="dxa"/>
          </w:tcPr>
          <w:p w14:paraId="63F910C2" w14:textId="77777777" w:rsidR="00292D9F" w:rsidRDefault="00292D9F" w:rsidP="00F26D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F26D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F26D06">
        <w:tc>
          <w:tcPr>
            <w:tcW w:w="3037" w:type="dxa"/>
          </w:tcPr>
          <w:p w14:paraId="5C706085" w14:textId="77777777" w:rsidR="00292D9F" w:rsidRDefault="00292D9F" w:rsidP="00F26D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F26D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F26D06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1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F26D06">
        <w:tc>
          <w:tcPr>
            <w:tcW w:w="3046" w:type="dxa"/>
          </w:tcPr>
          <w:p w14:paraId="40C10E57" w14:textId="77777777" w:rsidR="00292D9F" w:rsidRDefault="00292D9F" w:rsidP="00F26D0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F26D0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F26D06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F26D0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037E7B" w:rsidRDefault="00767A86" w:rsidP="00BA65A1">
      <w:pPr>
        <w:rPr>
          <w:lang w:val="en-US"/>
        </w:rPr>
      </w:pPr>
    </w:p>
    <w:sectPr w:rsidR="00767A86" w:rsidRPr="00037E7B" w:rsidSect="00BA65A1">
      <w:headerReference w:type="default" r:id="rId12"/>
      <w:footerReference w:type="default" r:id="rId13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D24DE" w14:textId="77777777" w:rsidR="00F26D06" w:rsidRDefault="00F26D06" w:rsidP="00A665B8">
      <w:pPr>
        <w:spacing w:after="0" w:line="240" w:lineRule="auto"/>
      </w:pPr>
      <w:r>
        <w:separator/>
      </w:r>
    </w:p>
  </w:endnote>
  <w:endnote w:type="continuationSeparator" w:id="0">
    <w:p w14:paraId="4624D0E4" w14:textId="77777777" w:rsidR="00F26D06" w:rsidRDefault="00F26D06" w:rsidP="00A665B8">
      <w:pPr>
        <w:spacing w:after="0" w:line="240" w:lineRule="auto"/>
      </w:pPr>
      <w:r>
        <w:continuationSeparator/>
      </w:r>
    </w:p>
  </w:endnote>
  <w:endnote w:type="continuationNotice" w:id="1">
    <w:p w14:paraId="45F80648" w14:textId="77777777" w:rsidR="006E6652" w:rsidRDefault="006E66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66512" w14:textId="77777777" w:rsidR="00F26D06" w:rsidRDefault="00F26D06">
    <w:pPr>
      <w:pStyle w:val="Rodap"/>
    </w:pPr>
  </w:p>
  <w:p w14:paraId="6B2010B8" w14:textId="77777777" w:rsidR="00F26D06" w:rsidRDefault="00F26D0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D04D0" w14:textId="77777777" w:rsidR="00F26D06" w:rsidRDefault="00F26D06" w:rsidP="00A665B8">
      <w:pPr>
        <w:spacing w:after="0" w:line="240" w:lineRule="auto"/>
      </w:pPr>
      <w:r>
        <w:separator/>
      </w:r>
    </w:p>
  </w:footnote>
  <w:footnote w:type="continuationSeparator" w:id="0">
    <w:p w14:paraId="1C0CA431" w14:textId="77777777" w:rsidR="00F26D06" w:rsidRDefault="00F26D06" w:rsidP="00A665B8">
      <w:pPr>
        <w:spacing w:after="0" w:line="240" w:lineRule="auto"/>
      </w:pPr>
      <w:r>
        <w:continuationSeparator/>
      </w:r>
    </w:p>
  </w:footnote>
  <w:footnote w:type="continuationNotice" w:id="1">
    <w:p w14:paraId="0DCDC615" w14:textId="77777777" w:rsidR="006E6652" w:rsidRDefault="006E66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B8B62" w14:textId="77777777" w:rsidR="00F26D06" w:rsidRDefault="00F26D06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8240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F26D06" w:rsidRDefault="00F26D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0FA4D58"/>
    <w:multiLevelType w:val="hybridMultilevel"/>
    <w:tmpl w:val="BDD2CE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27E5B"/>
    <w:rsid w:val="00143094"/>
    <w:rsid w:val="0017064D"/>
    <w:rsid w:val="001706CB"/>
    <w:rsid w:val="001751A4"/>
    <w:rsid w:val="001752A0"/>
    <w:rsid w:val="001B2151"/>
    <w:rsid w:val="001B694D"/>
    <w:rsid w:val="0027287A"/>
    <w:rsid w:val="00292D9F"/>
    <w:rsid w:val="002C62B7"/>
    <w:rsid w:val="00400BFA"/>
    <w:rsid w:val="004218BC"/>
    <w:rsid w:val="0043319B"/>
    <w:rsid w:val="00461734"/>
    <w:rsid w:val="004812A4"/>
    <w:rsid w:val="00490844"/>
    <w:rsid w:val="004C4386"/>
    <w:rsid w:val="004D62CA"/>
    <w:rsid w:val="00503CFE"/>
    <w:rsid w:val="00542828"/>
    <w:rsid w:val="00577C4A"/>
    <w:rsid w:val="00594CA0"/>
    <w:rsid w:val="005C5BD0"/>
    <w:rsid w:val="005F05D1"/>
    <w:rsid w:val="005F1158"/>
    <w:rsid w:val="00611424"/>
    <w:rsid w:val="006E6652"/>
    <w:rsid w:val="007131AA"/>
    <w:rsid w:val="0073389B"/>
    <w:rsid w:val="00767A86"/>
    <w:rsid w:val="00824E9D"/>
    <w:rsid w:val="00864454"/>
    <w:rsid w:val="008C5578"/>
    <w:rsid w:val="009C4970"/>
    <w:rsid w:val="00A05B9D"/>
    <w:rsid w:val="00A665B8"/>
    <w:rsid w:val="00AA5149"/>
    <w:rsid w:val="00AD7AC4"/>
    <w:rsid w:val="00AE5C14"/>
    <w:rsid w:val="00B149E2"/>
    <w:rsid w:val="00B84454"/>
    <w:rsid w:val="00BA65A1"/>
    <w:rsid w:val="00BD6A1D"/>
    <w:rsid w:val="00BE610D"/>
    <w:rsid w:val="00C05978"/>
    <w:rsid w:val="00C40788"/>
    <w:rsid w:val="00C61199"/>
    <w:rsid w:val="00C8671C"/>
    <w:rsid w:val="00D30380"/>
    <w:rsid w:val="00D6510D"/>
    <w:rsid w:val="00D85462"/>
    <w:rsid w:val="00E6300E"/>
    <w:rsid w:val="00EA5425"/>
    <w:rsid w:val="00F26D06"/>
    <w:rsid w:val="00FB4052"/>
    <w:rsid w:val="00FD400E"/>
    <w:rsid w:val="00FD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33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90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2598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4837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8349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937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132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893026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403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434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821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68644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9234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23119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2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07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9185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043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frgs.br/ppggeo/ppggeo/wp-content/uploads/2019/12/QUALIS-NOVO-1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2E5BF-1E6D-4E16-A3BB-CA282FC2473A}">
  <ds:schemaRefs>
    <ds:schemaRef ds:uri="http://schemas.microsoft.com/office/infopath/2007/PartnerControls"/>
    <ds:schemaRef ds:uri="65dbc61f-651c-40f7-b27a-2bb32da61f3a"/>
    <ds:schemaRef ds:uri="http://purl.org/dc/elements/1.1/"/>
    <ds:schemaRef ds:uri="http://purl.org/dc/terms/"/>
    <ds:schemaRef ds:uri="fa8a14e5-a1ba-432c-8ee2-95051867b283"/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2649BA-3B96-49B1-958B-B588A8856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2194</Words>
  <Characters>11848</Characters>
  <Application>Microsoft Office Word</Application>
  <DocSecurity>0</DocSecurity>
  <Lines>98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Lavinia de Lima Pires</cp:lastModifiedBy>
  <cp:revision>11</cp:revision>
  <cp:lastPrinted>2016-10-14T19:13:00Z</cp:lastPrinted>
  <dcterms:created xsi:type="dcterms:W3CDTF">2024-05-23T23:16:00Z</dcterms:created>
  <dcterms:modified xsi:type="dcterms:W3CDTF">2024-05-24T23:49:00Z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