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10BF" w14:textId="2DD0A423" w:rsidR="001F07B4" w:rsidRDefault="001F07B4" w:rsidP="00A41D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Hlk182745767"/>
      <w:bookmarkEnd w:id="0"/>
      <w:r>
        <w:rPr>
          <w:rFonts w:ascii="Arial" w:hAnsi="Arial" w:cs="Arial"/>
          <w:b/>
          <w:bCs/>
          <w:sz w:val="24"/>
          <w:szCs w:val="24"/>
        </w:rPr>
        <w:t>Introdução</w:t>
      </w:r>
    </w:p>
    <w:tbl>
      <w:tblPr>
        <w:tblpPr w:leftFromText="141" w:rightFromText="141" w:vertAnchor="text" w:horzAnchor="margin" w:tblpXSpec="center" w:tblpY="3726"/>
        <w:tblW w:w="9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801"/>
        <w:gridCol w:w="1007"/>
        <w:gridCol w:w="730"/>
        <w:gridCol w:w="698"/>
        <w:gridCol w:w="698"/>
        <w:gridCol w:w="698"/>
        <w:gridCol w:w="698"/>
        <w:gridCol w:w="779"/>
        <w:gridCol w:w="1036"/>
        <w:gridCol w:w="916"/>
        <w:gridCol w:w="1112"/>
        <w:gridCol w:w="1082"/>
      </w:tblGrid>
      <w:tr w:rsidR="001F07B4" w:rsidRPr="001F07B4" w14:paraId="29FF03CF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62D6E816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6992916C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Janeiro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36E1B89F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Fevereiro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0C74842E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Março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6CFF9912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Abril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24A048DE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Maio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341833E8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Junho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1F8C1B28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Julho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5CFA9922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Agosto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14D191C2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Setembro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46D1823D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Outubro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6E7E31ED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Novembro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79646" w:fill="F79646"/>
            <w:noWrap/>
            <w:hideMark/>
          </w:tcPr>
          <w:p w14:paraId="7A4E5425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Dezembro</w:t>
            </w:r>
          </w:p>
        </w:tc>
      </w:tr>
      <w:tr w:rsidR="001F07B4" w:rsidRPr="001F07B4" w14:paraId="705C92CF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9D9" w:fill="FDE9D9"/>
            <w:noWrap/>
            <w:hideMark/>
          </w:tcPr>
          <w:p w14:paraId="3741D31F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34D2B9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18489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28D5BA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16380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402DB62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17623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CA708DA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17233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F0B939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17654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A2B217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3B0936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81290F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18398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B50D57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17972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71AC9E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18223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9C0137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17968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18B845D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19109</w:t>
            </w:r>
          </w:p>
        </w:tc>
      </w:tr>
      <w:tr w:rsidR="001F07B4" w:rsidRPr="001F07B4" w14:paraId="70D4F292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90E81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12E35B9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18891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4CF98E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16602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B2AA81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18559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E7E9606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17566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94E5C1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17977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E2EC3A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17430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313CDF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18750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9D0FB02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18585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13A4EC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17753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4EBD91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18202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6F524A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17845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358CACF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18867</w:t>
            </w:r>
          </w:p>
        </w:tc>
      </w:tr>
      <w:tr w:rsidR="001F07B4" w:rsidRPr="001F07B4" w14:paraId="7161094F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9D9" w:fill="FDE9D9"/>
            <w:noWrap/>
            <w:hideMark/>
          </w:tcPr>
          <w:p w14:paraId="346ABFA1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E464F3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18818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A5AC98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17364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7F1148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17595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6AD87D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16471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A41F6B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17103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FA189C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16608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32EF726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17371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BCC499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17365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72F149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16780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1434F73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16603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EFD9C9A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16633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726D97A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17502</w:t>
            </w:r>
          </w:p>
        </w:tc>
      </w:tr>
      <w:tr w:rsidR="001F07B4" w:rsidRPr="001F07B4" w14:paraId="0B76D198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F1BE7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2CE3EA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17545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D46E01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15502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310A90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17560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11306E7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16087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A0BBD8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17024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F72B12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16356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E02AEC2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17385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7F72BE7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17838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05C3E9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16977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4DDB1D6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17559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A0492E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17189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4C845327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18168</w:t>
            </w:r>
          </w:p>
        </w:tc>
      </w:tr>
      <w:tr w:rsidR="001F07B4" w:rsidRPr="001F07B4" w14:paraId="5F877A26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9D9" w:fill="FDE9D9"/>
            <w:noWrap/>
            <w:hideMark/>
          </w:tcPr>
          <w:p w14:paraId="68536033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19E764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18599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172C049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16198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EB7FDC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14548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390741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18162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17C38A27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19027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397B92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18257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EA810B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20223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0956797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19375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EB3C70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18508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1E8043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19364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CF72DF7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18748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41AB311A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19877</w:t>
            </w:r>
          </w:p>
        </w:tc>
      </w:tr>
      <w:tr w:rsidR="001F07B4" w:rsidRPr="001F07B4" w14:paraId="7E32E8F8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5FD7C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42BA7DA6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20616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7733009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18022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9067DD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18878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9179B1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17957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9A6B63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17186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BA8965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16562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D9D9E2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18887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2C9A19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18625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C4868F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18811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0EF4FB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19170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7D177F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18780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69F52FA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20542</w:t>
            </w:r>
          </w:p>
        </w:tc>
      </w:tr>
      <w:tr w:rsidR="001F07B4" w:rsidRPr="001F07B4" w14:paraId="3D77A66D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9D9" w:fill="FDE9D9"/>
            <w:noWrap/>
            <w:hideMark/>
          </w:tcPr>
          <w:p w14:paraId="02206C3B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0E4C9E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20954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422A52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18477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0266172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14183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B75268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1406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855151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1680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317D95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2445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4FAD13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3992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5387A8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4949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2C06CB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6160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B16CD9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8206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4DA0D66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9355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5C40CFF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11031</w:t>
            </w:r>
          </w:p>
        </w:tc>
      </w:tr>
      <w:tr w:rsidR="001F07B4" w:rsidRPr="001F07B4" w14:paraId="3D800483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8800F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C959ED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11685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2FB33F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8682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A0625E3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7408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8E8390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5505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6FE17B6A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7042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8488D97" w14:textId="6164708E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8145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26CABE7" w14:textId="64C9C114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11169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E0B92CA" w14:textId="48246F11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10906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D0B0902" w14:textId="2A37367B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11695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B6538FC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12441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54822A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13528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6B65DA99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15170</w:t>
            </w:r>
          </w:p>
        </w:tc>
      </w:tr>
      <w:tr w:rsidR="001F07B4" w:rsidRPr="001F07B4" w14:paraId="60FE582D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DE9D9" w:fill="FDE9D9"/>
            <w:noWrap/>
            <w:hideMark/>
          </w:tcPr>
          <w:p w14:paraId="7339E2D7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0EC0365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14976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EF242C2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12051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EF7F66D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13500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79B5877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13604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4419DDB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15122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F5B32B6" w14:textId="12950068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14470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8B52E4E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16955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39BE5D66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16524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5711DD95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15775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636E7A90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16485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060D38F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16375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3DA0E85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17684</w:t>
            </w:r>
          </w:p>
        </w:tc>
      </w:tr>
      <w:tr w:rsidR="001F07B4" w:rsidRPr="001F07B4" w14:paraId="7166F6E1" w14:textId="77777777" w:rsidTr="001106F7">
        <w:trPr>
          <w:trHeight w:val="317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998E2" w14:textId="77777777" w:rsidR="001F07B4" w:rsidRPr="001F07B4" w:rsidRDefault="001F07B4" w:rsidP="001F07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71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1BAC41B" w14:textId="63F40161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18212</w:t>
            </w:r>
          </w:p>
        </w:tc>
        <w:tc>
          <w:tcPr>
            <w:tcW w:w="898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5022DE1" w14:textId="67AF22E9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15662</w:t>
            </w:r>
          </w:p>
        </w:tc>
        <w:tc>
          <w:tcPr>
            <w:tcW w:w="651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5FA6E422" w14:textId="6900A3DF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18095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08ACC90" w14:textId="6DBA9881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17403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07D66C7C" w14:textId="0134164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18816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480C7F0D" w14:textId="1EB57B43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17819</w:t>
            </w:r>
          </w:p>
        </w:tc>
        <w:tc>
          <w:tcPr>
            <w:tcW w:w="62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27303CB" w14:textId="17D9D12F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19741</w:t>
            </w:r>
          </w:p>
        </w:tc>
        <w:tc>
          <w:tcPr>
            <w:tcW w:w="695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165561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19330</w:t>
            </w:r>
          </w:p>
        </w:tc>
        <w:tc>
          <w:tcPr>
            <w:tcW w:w="924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17A3A36B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18298</w:t>
            </w:r>
          </w:p>
        </w:tc>
        <w:tc>
          <w:tcPr>
            <w:tcW w:w="817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7BC10028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18438</w:t>
            </w:r>
          </w:p>
        </w:tc>
        <w:tc>
          <w:tcPr>
            <w:tcW w:w="992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362FF8E4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17088</w:t>
            </w:r>
          </w:p>
        </w:tc>
        <w:tc>
          <w:tcPr>
            <w:tcW w:w="965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696C0E21" w14:textId="77777777" w:rsidR="001F07B4" w:rsidRPr="001F07B4" w:rsidRDefault="001F07B4" w:rsidP="001F07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F07B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18332</w:t>
            </w:r>
          </w:p>
        </w:tc>
      </w:tr>
    </w:tbl>
    <w:p w14:paraId="24DFD4F6" w14:textId="0153C045" w:rsidR="001F07B4" w:rsidRDefault="001F07B4" w:rsidP="001F07B4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Nossos estudos buscam verificar se há uma relação entre número de feriados prolongados em um período com o turismo. Para isso usamos o banco de dados da </w:t>
      </w:r>
      <w:r w:rsidRPr="001F07B4">
        <w:rPr>
          <w:rFonts w:ascii="Arial" w:hAnsi="Arial" w:cs="Arial"/>
          <w:sz w:val="24"/>
          <w:szCs w:val="24"/>
        </w:rPr>
        <w:t>Agência Nacional de Aviação Civil (Anac)</w:t>
      </w:r>
      <w:r>
        <w:rPr>
          <w:rFonts w:ascii="Arial" w:hAnsi="Arial" w:cs="Arial"/>
          <w:sz w:val="24"/>
          <w:szCs w:val="24"/>
        </w:rPr>
        <w:t>, com foco em voos com origem dos aeroportos de Guarulhos (GRU) e Congonhas (CGH). A base está limitada ao período entre 2014 e 2023.</w:t>
      </w:r>
    </w:p>
    <w:p w14:paraId="46FF94BD" w14:textId="77777777" w:rsidR="001F07B4" w:rsidRDefault="001F07B4" w:rsidP="001F07B4">
      <w:pPr>
        <w:spacing w:line="360" w:lineRule="auto"/>
        <w:rPr>
          <w:rFonts w:ascii="Arial" w:hAnsi="Arial" w:cs="Arial"/>
          <w:sz w:val="24"/>
          <w:szCs w:val="24"/>
        </w:rPr>
      </w:pPr>
    </w:p>
    <w:p w14:paraId="7B3761BF" w14:textId="77777777" w:rsidR="001106F7" w:rsidRDefault="001F07B4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07B4">
        <w:rPr>
          <w:rFonts w:ascii="Arial" w:hAnsi="Arial" w:cs="Arial"/>
          <w:b/>
          <w:bCs/>
          <w:sz w:val="24"/>
          <w:szCs w:val="24"/>
        </w:rPr>
        <w:t>Tabela 1: Quantidade de Voos por Mês e Ano</w:t>
      </w:r>
      <w:r w:rsidRPr="001F07B4">
        <w:rPr>
          <w:rFonts w:ascii="Arial" w:hAnsi="Arial" w:cs="Arial"/>
          <w:b/>
          <w:bCs/>
          <w:sz w:val="24"/>
          <w:szCs w:val="24"/>
        </w:rPr>
        <w:tab/>
      </w:r>
      <w:r w:rsidRPr="001F07B4">
        <w:rPr>
          <w:rFonts w:ascii="Arial" w:hAnsi="Arial" w:cs="Arial"/>
          <w:b/>
          <w:bCs/>
          <w:sz w:val="24"/>
          <w:szCs w:val="24"/>
        </w:rPr>
        <w:tab/>
      </w:r>
    </w:p>
    <w:p w14:paraId="234E28B6" w14:textId="77777777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ACD5C75" w14:textId="77777777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448"/>
        <w:tblW w:w="93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1767"/>
        <w:gridCol w:w="2245"/>
        <w:gridCol w:w="1871"/>
        <w:gridCol w:w="1767"/>
      </w:tblGrid>
      <w:tr w:rsidR="001106F7" w:rsidRPr="001106F7" w14:paraId="36F130F5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8E293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9A8EE94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0D5810C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9C4AF08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VARR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7BA18C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STD</w:t>
            </w:r>
          </w:p>
        </w:tc>
      </w:tr>
      <w:tr w:rsidR="001106F7" w:rsidRPr="001106F7" w14:paraId="17586F3B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EFEA3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F9173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16277,18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FBC37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17968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A87629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29650435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6DDD59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5191,815</w:t>
            </w:r>
          </w:p>
        </w:tc>
      </w:tr>
      <w:tr w:rsidR="001106F7" w:rsidRPr="001106F7" w14:paraId="7BFC0CC1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AFEEB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64E85A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18085,58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32755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18089,5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CBC69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478991,7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E8DAB9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662,6279</w:t>
            </w:r>
          </w:p>
        </w:tc>
      </w:tr>
      <w:tr w:rsidR="001106F7" w:rsidRPr="001106F7" w14:paraId="2D030460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823D9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820F98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17184,42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9CFB1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17233,5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5A202F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426473,9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B91A20F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625,2475</w:t>
            </w:r>
          </w:p>
        </w:tc>
      </w:tr>
      <w:tr w:rsidR="001106F7" w:rsidRPr="001106F7" w14:paraId="72B8EDA2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CB9211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AF830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17099,17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433A4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17287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51F843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595356,9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211F41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738,7447</w:t>
            </w:r>
          </w:p>
        </w:tc>
      </w:tr>
      <w:tr w:rsidR="001106F7" w:rsidRPr="001106F7" w14:paraId="21A473DB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B8144B5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359A1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18407,17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661384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18673,5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0785A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2519406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9EEADA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1519,689</w:t>
            </w:r>
          </w:p>
        </w:tc>
      </w:tr>
      <w:tr w:rsidR="001106F7" w:rsidRPr="001106F7" w14:paraId="618B4074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FD570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E0153E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18669,67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FDB2D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18795,5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6C3CD95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1385441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0B2AC5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1126,937</w:t>
            </w:r>
          </w:p>
        </w:tc>
      </w:tr>
      <w:tr w:rsidR="001106F7" w:rsidRPr="001106F7" w14:paraId="50A7C1D2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3485B9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FAD88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7994,583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50C5F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5780,5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EC6C32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44621529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A38D09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6395,551</w:t>
            </w:r>
          </w:p>
        </w:tc>
      </w:tr>
      <w:tr w:rsidR="001106F7" w:rsidRPr="001106F7" w14:paraId="35682D1F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EC3644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EA496A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10281,33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F0F30A4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11037,5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C9C1D8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8448676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B1E532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2782,916</w:t>
            </w:r>
          </w:p>
        </w:tc>
      </w:tr>
      <w:tr w:rsidR="001106F7" w:rsidRPr="001106F7" w14:paraId="6F0CB135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97DC1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E2884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15293,42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92579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15448,5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363EC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2745781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A14123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1586,495</w:t>
            </w:r>
          </w:p>
        </w:tc>
      </w:tr>
      <w:tr w:rsidR="001106F7" w:rsidRPr="001106F7" w14:paraId="18283F7A" w14:textId="77777777" w:rsidTr="001106F7">
        <w:trPr>
          <w:trHeight w:val="299"/>
        </w:trPr>
        <w:tc>
          <w:tcPr>
            <w:tcW w:w="173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F7329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5DB4B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18102,83</w:t>
            </w:r>
          </w:p>
        </w:tc>
        <w:tc>
          <w:tcPr>
            <w:tcW w:w="22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E97CE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18255</w:t>
            </w:r>
          </w:p>
        </w:tc>
        <w:tc>
          <w:tcPr>
            <w:tcW w:w="187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368C5B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1133722</w:t>
            </w:r>
          </w:p>
        </w:tc>
        <w:tc>
          <w:tcPr>
            <w:tcW w:w="176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76C31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1019,434</w:t>
            </w:r>
          </w:p>
        </w:tc>
      </w:tr>
    </w:tbl>
    <w:p w14:paraId="1115B4EF" w14:textId="77777777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07B4">
        <w:rPr>
          <w:rFonts w:ascii="Arial" w:hAnsi="Arial" w:cs="Arial"/>
          <w:b/>
          <w:bCs/>
          <w:sz w:val="24"/>
          <w:szCs w:val="24"/>
        </w:rPr>
        <w:t xml:space="preserve">Tabela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F07B4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Medidas de posição e dispersão por ano</w:t>
      </w:r>
      <w:r w:rsidRPr="001F07B4">
        <w:rPr>
          <w:rFonts w:ascii="Arial" w:hAnsi="Arial" w:cs="Arial"/>
          <w:b/>
          <w:bCs/>
          <w:sz w:val="24"/>
          <w:szCs w:val="24"/>
        </w:rPr>
        <w:tab/>
      </w:r>
      <w:r w:rsidR="001F07B4" w:rsidRPr="001F07B4">
        <w:rPr>
          <w:rFonts w:ascii="Arial" w:hAnsi="Arial" w:cs="Arial"/>
          <w:b/>
          <w:bCs/>
          <w:sz w:val="24"/>
          <w:szCs w:val="24"/>
        </w:rPr>
        <w:tab/>
      </w:r>
    </w:p>
    <w:p w14:paraId="6AAAC2BB" w14:textId="5EEBA494" w:rsidR="001F07B4" w:rsidRDefault="001F07B4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07B4">
        <w:rPr>
          <w:rFonts w:ascii="Arial" w:hAnsi="Arial" w:cs="Arial"/>
          <w:b/>
          <w:bCs/>
          <w:sz w:val="24"/>
          <w:szCs w:val="24"/>
        </w:rPr>
        <w:tab/>
      </w:r>
    </w:p>
    <w:p w14:paraId="3D666E4F" w14:textId="186E98A9" w:rsidR="001106F7" w:rsidRDefault="001106F7" w:rsidP="001F07B4">
      <w:pPr>
        <w:spacing w:line="360" w:lineRule="auto"/>
        <w:rPr>
          <w:noProof/>
        </w:rPr>
      </w:pPr>
      <w:r>
        <w:rPr>
          <w:noProof/>
        </w:rPr>
        <w:t>A partir da Tabela 2, podemos verifica que os anos com menor desvio padrão (2015 e 2016) são aqueles cujo o número de viagens foi bem distribuído. Ao contrário de casos como 2014, que teve seu desvio padrão afetado por uma falta de dados nos meses 6 e 7.</w:t>
      </w:r>
    </w:p>
    <w:p w14:paraId="70D9CCAD" w14:textId="4F7AB568" w:rsidR="001F07B4" w:rsidRDefault="001F07B4" w:rsidP="001106F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DBBC14" w14:textId="4B8E5842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07B4">
        <w:rPr>
          <w:rFonts w:ascii="Arial" w:hAnsi="Arial" w:cs="Arial"/>
          <w:b/>
          <w:bCs/>
          <w:sz w:val="24"/>
          <w:szCs w:val="24"/>
        </w:rPr>
        <w:t xml:space="preserve">Tabela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F07B4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Medidas de posição e dispersão por mês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6"/>
        <w:gridCol w:w="1775"/>
        <w:gridCol w:w="1892"/>
        <w:gridCol w:w="1879"/>
        <w:gridCol w:w="1775"/>
      </w:tblGrid>
      <w:tr w:rsidR="001106F7" w:rsidRPr="001106F7" w14:paraId="2A1CC168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14:paraId="75A75050" w14:textId="77777777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14:paraId="2EC0FECE" w14:textId="78B3FD13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14:paraId="3CFBF47C" w14:textId="340978CC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14:paraId="28DF161C" w14:textId="48F52015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VARR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14:paraId="115FFA94" w14:textId="739ED094" w:rsidR="001106F7" w:rsidRPr="001106F7" w:rsidRDefault="001106F7" w:rsidP="00110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STD</w:t>
            </w:r>
          </w:p>
        </w:tc>
      </w:tr>
      <w:tr w:rsidR="001106F7" w:rsidRPr="001106F7" w14:paraId="6E113061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C346AC1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1F03BE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17878,5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836622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18544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95F9721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7417627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335B29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2583,769</w:t>
            </w:r>
          </w:p>
        </w:tc>
      </w:tr>
      <w:tr w:rsidR="001106F7" w:rsidRPr="001106F7" w14:paraId="6E0343EE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479FE3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71B2D85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15494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8AE2C78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16289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CECD9D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8842237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256D528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2820,995</w:t>
            </w:r>
          </w:p>
        </w:tc>
      </w:tr>
      <w:tr w:rsidR="001106F7" w:rsidRPr="001106F7" w14:paraId="18E3AF6C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E51E139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63A009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15794,9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A35027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17577,5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EAB400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12432638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1AC529D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3345,052</w:t>
            </w:r>
          </w:p>
        </w:tc>
      </w:tr>
      <w:tr w:rsidR="001106F7" w:rsidRPr="001106F7" w14:paraId="497E7C3F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1CD752F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21579B1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14134,8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CEA719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16852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91566AF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34455588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511087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5568,665</w:t>
            </w:r>
          </w:p>
        </w:tc>
      </w:tr>
      <w:tr w:rsidR="001106F7" w:rsidRPr="001106F7" w14:paraId="69469194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4714D8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9B75F2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14860,6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ACA165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17144,5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5C8B44A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33469107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FB9783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5488,369</w:t>
            </w:r>
          </w:p>
        </w:tc>
      </w:tr>
      <w:tr w:rsidR="001106F7" w:rsidRPr="001106F7" w14:paraId="5DCF6522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34BB74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1AC3EB54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12772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927ADA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16459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323D21E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46784819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6E4B678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6488,94</w:t>
            </w:r>
          </w:p>
        </w:tc>
      </w:tr>
      <w:tr w:rsidR="001106F7" w:rsidRPr="001106F7" w14:paraId="68DD5464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867A11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A9BE418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15977,44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98A469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17385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8C1ADA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29581726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92E8626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5127,852</w:t>
            </w:r>
          </w:p>
        </w:tc>
      </w:tr>
      <w:tr w:rsidR="001106F7" w:rsidRPr="001106F7" w14:paraId="3E5F28F3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DFB727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2624B65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16136,5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FF31C3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18118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C8E182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23022322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7240E35C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4551,933</w:t>
            </w:r>
          </w:p>
        </w:tc>
      </w:tr>
      <w:tr w:rsidR="001106F7" w:rsidRPr="001106F7" w14:paraId="158B69F9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3B2B4B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9CC94E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15782,2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879E88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17365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7DAE8E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17956067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44268A1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4020,007</w:t>
            </w:r>
          </w:p>
        </w:tc>
      </w:tr>
      <w:tr w:rsidR="001106F7" w:rsidRPr="001106F7" w14:paraId="338992B3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06D26F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167D6DDD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16279,3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4EC625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17880,5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B869AFF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16216705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55F50339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3820,345</w:t>
            </w:r>
          </w:p>
        </w:tc>
      </w:tr>
      <w:tr w:rsidR="001106F7" w:rsidRPr="001106F7" w14:paraId="3869C8A5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FCDB392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16EBA0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16106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FE2D3F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17138,5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BEB7503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12710555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2F4E7B4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3382,233</w:t>
            </w:r>
          </w:p>
        </w:tc>
      </w:tr>
      <w:tr w:rsidR="001106F7" w:rsidRPr="001106F7" w14:paraId="566E674A" w14:textId="77777777" w:rsidTr="001106F7">
        <w:trPr>
          <w:trHeight w:val="289"/>
        </w:trPr>
        <w:tc>
          <w:tcPr>
            <w:tcW w:w="174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D433D47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792B6BE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17628,2</w:t>
            </w:r>
          </w:p>
        </w:tc>
        <w:tc>
          <w:tcPr>
            <w:tcW w:w="189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2796AB8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18250</w:t>
            </w:r>
          </w:p>
        </w:tc>
        <w:tc>
          <w:tcPr>
            <w:tcW w:w="18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6FFEA90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7516253</w:t>
            </w:r>
          </w:p>
        </w:tc>
        <w:tc>
          <w:tcPr>
            <w:tcW w:w="177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62D6685B" w14:textId="77777777" w:rsidR="001106F7" w:rsidRPr="001106F7" w:rsidRDefault="001106F7" w:rsidP="00110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106F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2600,89</w:t>
            </w:r>
          </w:p>
        </w:tc>
      </w:tr>
    </w:tbl>
    <w:p w14:paraId="62A85692" w14:textId="550453B4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A3B6C8" w14:textId="0C6CFCBB" w:rsid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Gráfico 1: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Boxplot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 quantidade total de voos por mês</w:t>
      </w:r>
      <w:r>
        <w:rPr>
          <w:noProof/>
        </w:rPr>
        <w:drawing>
          <wp:inline distT="0" distB="0" distL="0" distR="0" wp14:anchorId="4C284782" wp14:editId="404C1B32">
            <wp:extent cx="5381625" cy="4162425"/>
            <wp:effectExtent l="0" t="0" r="9525" b="9525"/>
            <wp:docPr id="11885653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533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D980" w14:textId="77777777" w:rsidR="001106F7" w:rsidRDefault="001106F7" w:rsidP="001F07B4">
      <w:pPr>
        <w:spacing w:line="360" w:lineRule="auto"/>
        <w:rPr>
          <w:rFonts w:ascii="Arial" w:hAnsi="Arial" w:cs="Arial"/>
          <w:sz w:val="24"/>
          <w:szCs w:val="24"/>
        </w:rPr>
      </w:pPr>
    </w:p>
    <w:p w14:paraId="2D25F995" w14:textId="7393EB33" w:rsidR="001106F7" w:rsidRDefault="001106F7" w:rsidP="001F07B4">
      <w:pPr>
        <w:spacing w:line="360" w:lineRule="auto"/>
        <w:rPr>
          <w:rFonts w:ascii="Arial" w:hAnsi="Arial" w:cs="Arial"/>
          <w:sz w:val="24"/>
          <w:szCs w:val="24"/>
        </w:rPr>
      </w:pPr>
      <w:r w:rsidRPr="001106F7">
        <w:rPr>
          <w:rFonts w:ascii="Arial" w:hAnsi="Arial" w:cs="Arial"/>
          <w:sz w:val="24"/>
          <w:szCs w:val="24"/>
        </w:rPr>
        <w:lastRenderedPageBreak/>
        <w:t>Podemos verificar</w:t>
      </w:r>
      <w:r>
        <w:rPr>
          <w:rFonts w:ascii="Arial" w:hAnsi="Arial" w:cs="Arial"/>
          <w:sz w:val="24"/>
          <w:szCs w:val="24"/>
        </w:rPr>
        <w:t xml:space="preserve"> visualmente pelo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>, que temos alguns dados fora dos limites inferiores, em específico entre os meses 4 e 11. Isso se deu por conta da variação causada pela pandemia em 2020, e pode ser observado na Tabela 1.</w:t>
      </w:r>
    </w:p>
    <w:p w14:paraId="6205101C" w14:textId="7B9C06C3" w:rsidR="001106F7" w:rsidRPr="001106F7" w:rsidRDefault="001106F7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6F7">
        <w:rPr>
          <w:rFonts w:ascii="Arial" w:hAnsi="Arial" w:cs="Arial"/>
          <w:b/>
          <w:bCs/>
          <w:sz w:val="24"/>
          <w:szCs w:val="24"/>
        </w:rPr>
        <w:t>Gráfico 2: Histograma da média de voos por ano</w:t>
      </w:r>
    </w:p>
    <w:p w14:paraId="47221708" w14:textId="67C15D98" w:rsidR="001106F7" w:rsidRDefault="001106F7" w:rsidP="001F07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964D53" wp14:editId="0F63C568">
            <wp:extent cx="5400040" cy="3220720"/>
            <wp:effectExtent l="0" t="0" r="0" b="0"/>
            <wp:docPr id="357003098" name="Imagem 4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03098" name="Imagem 4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957A" w14:textId="12FE019B" w:rsidR="00E053E1" w:rsidRPr="00E053E1" w:rsidRDefault="00E053E1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6F7">
        <w:rPr>
          <w:rFonts w:ascii="Arial" w:hAnsi="Arial" w:cs="Arial"/>
          <w:b/>
          <w:bCs/>
          <w:sz w:val="24"/>
          <w:szCs w:val="24"/>
        </w:rPr>
        <w:t xml:space="preserve">Gráfico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106F7">
        <w:rPr>
          <w:rFonts w:ascii="Arial" w:hAnsi="Arial" w:cs="Arial"/>
          <w:b/>
          <w:bCs/>
          <w:sz w:val="24"/>
          <w:szCs w:val="24"/>
        </w:rPr>
        <w:t xml:space="preserve">: Histograma da média de voos por </w:t>
      </w:r>
      <w:r>
        <w:rPr>
          <w:rFonts w:ascii="Arial" w:hAnsi="Arial" w:cs="Arial"/>
          <w:b/>
          <w:bCs/>
          <w:sz w:val="24"/>
          <w:szCs w:val="24"/>
        </w:rPr>
        <w:t>mês</w:t>
      </w:r>
    </w:p>
    <w:p w14:paraId="2CD52A64" w14:textId="7D386E1E" w:rsidR="00E053E1" w:rsidRPr="001106F7" w:rsidRDefault="00E053E1" w:rsidP="001F07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02E094" wp14:editId="1230E72E">
            <wp:extent cx="5400040" cy="3220720"/>
            <wp:effectExtent l="0" t="0" r="0" b="0"/>
            <wp:docPr id="1382412252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12252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D09E" w14:textId="77777777" w:rsidR="00E053E1" w:rsidRPr="00A41D16" w:rsidRDefault="00E053E1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8246A1" w14:textId="35904BFC" w:rsidR="00600653" w:rsidRPr="00600653" w:rsidRDefault="00600653" w:rsidP="001F07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lastRenderedPageBreak/>
        <w:t>Média e Moda</w:t>
      </w:r>
    </w:p>
    <w:p w14:paraId="53DC7F1B" w14:textId="61A22F08" w:rsidR="00600653" w:rsidRPr="00600653" w:rsidRDefault="00600653" w:rsidP="00600653">
      <w:pPr>
        <w:numPr>
          <w:ilvl w:val="0"/>
          <w:numId w:val="1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Média do Número de Viagens:</w:t>
      </w:r>
      <w:r w:rsidRPr="00600653">
        <w:rPr>
          <w:rFonts w:ascii="Arial" w:hAnsi="Arial" w:cs="Arial"/>
          <w:sz w:val="24"/>
          <w:szCs w:val="24"/>
        </w:rPr>
        <w:t xml:space="preserve"> A média das viagens realizadas é de aproximadamente 934,41. Esse valor indica uma tendência central que resume o número médio de viagens realizadas em feriados e datas aleatórias.</w:t>
      </w:r>
    </w:p>
    <w:p w14:paraId="4D0508DF" w14:textId="4700EDFE" w:rsidR="00600653" w:rsidRPr="00600653" w:rsidRDefault="00600653" w:rsidP="00600653">
      <w:pPr>
        <w:numPr>
          <w:ilvl w:val="0"/>
          <w:numId w:val="1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Moda (Data com Maior Número de Viagens):</w:t>
      </w:r>
      <w:r w:rsidRPr="00600653">
        <w:rPr>
          <w:rFonts w:ascii="Arial" w:hAnsi="Arial" w:cs="Arial"/>
          <w:sz w:val="24"/>
          <w:szCs w:val="24"/>
        </w:rPr>
        <w:t xml:space="preserve"> A data mais viajada foi </w:t>
      </w:r>
      <w:r w:rsidRPr="00600653">
        <w:rPr>
          <w:rFonts w:ascii="Arial" w:hAnsi="Arial" w:cs="Arial"/>
          <w:b/>
          <w:bCs/>
          <w:sz w:val="24"/>
          <w:szCs w:val="24"/>
        </w:rPr>
        <w:t>07/09/2019</w:t>
      </w:r>
      <w:r w:rsidRPr="00600653">
        <w:rPr>
          <w:rFonts w:ascii="Arial" w:hAnsi="Arial" w:cs="Arial"/>
          <w:sz w:val="24"/>
          <w:szCs w:val="24"/>
        </w:rPr>
        <w:t xml:space="preserve"> (Independência do Brasil), com </w:t>
      </w:r>
      <w:r w:rsidRPr="00600653">
        <w:rPr>
          <w:rFonts w:ascii="Arial" w:hAnsi="Arial" w:cs="Arial"/>
          <w:b/>
          <w:bCs/>
          <w:sz w:val="24"/>
          <w:szCs w:val="24"/>
        </w:rPr>
        <w:t>153 viagens</w:t>
      </w:r>
      <w:r w:rsidRPr="00600653">
        <w:rPr>
          <w:rFonts w:ascii="Arial" w:hAnsi="Arial" w:cs="Arial"/>
          <w:sz w:val="24"/>
          <w:szCs w:val="24"/>
        </w:rPr>
        <w:t>. Essa data se destacou como a data de maior movimento de viagens.</w:t>
      </w:r>
    </w:p>
    <w:p w14:paraId="55323996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 e Desvio Padrão</w:t>
      </w:r>
    </w:p>
    <w:p w14:paraId="02D822E3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As variâncias e desvios padrão para cada data revelam a dispersão dos dados de viagens em relação à média. Vamos interpretar esses valores com base em algumas datas relevantes:</w:t>
      </w:r>
    </w:p>
    <w:p w14:paraId="38BF0774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07/09/2019 (Independência):</w:t>
      </w:r>
    </w:p>
    <w:p w14:paraId="138DAE55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3122,49</w:t>
      </w:r>
    </w:p>
    <w:p w14:paraId="3D65BE68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55,88</w:t>
      </w:r>
    </w:p>
    <w:p w14:paraId="03467939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Esses valores indicam uma dispersão significativa ao redor da média para essa data, refletindo que, embora seja a data mais popular, há variações no número de viagens realizadas.</w:t>
      </w:r>
    </w:p>
    <w:p w14:paraId="41A5203A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15/11/2019 (Proclamação da República):</w:t>
      </w:r>
    </w:p>
    <w:p w14:paraId="76D22477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3681,47</w:t>
      </w:r>
    </w:p>
    <w:p w14:paraId="76CDE070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60,68</w:t>
      </w:r>
    </w:p>
    <w:p w14:paraId="53282897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 data também apresenta uma grande dispersão, mostrando que o volume de viagens nesta data variou bastante entre os anos analisados.</w:t>
      </w:r>
    </w:p>
    <w:p w14:paraId="46AA0518" w14:textId="77777777" w:rsidR="00600653" w:rsidRPr="00600653" w:rsidRDefault="00600653" w:rsidP="00600653">
      <w:pPr>
        <w:numPr>
          <w:ilvl w:val="0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"Nenhum" (Fora de Feriados):</w:t>
      </w:r>
    </w:p>
    <w:p w14:paraId="03923434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Variância:</w:t>
      </w:r>
      <w:r w:rsidRPr="00600653">
        <w:rPr>
          <w:rFonts w:ascii="Arial" w:hAnsi="Arial" w:cs="Arial"/>
          <w:sz w:val="24"/>
          <w:szCs w:val="24"/>
        </w:rPr>
        <w:t xml:space="preserve"> 1.112.706.000</w:t>
      </w:r>
    </w:p>
    <w:p w14:paraId="1AE95123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Desvio Padrão:</w:t>
      </w:r>
      <w:r w:rsidRPr="00600653">
        <w:rPr>
          <w:rFonts w:ascii="Arial" w:hAnsi="Arial" w:cs="Arial"/>
          <w:sz w:val="24"/>
          <w:szCs w:val="24"/>
        </w:rPr>
        <w:t xml:space="preserve"> 33357,25</w:t>
      </w:r>
    </w:p>
    <w:p w14:paraId="03DA5F92" w14:textId="77777777" w:rsidR="00600653" w:rsidRPr="00600653" w:rsidRDefault="00600653" w:rsidP="00600653">
      <w:pPr>
        <w:numPr>
          <w:ilvl w:val="1"/>
          <w:numId w:val="2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lastRenderedPageBreak/>
        <w:t>Estes valores extremamente altos indicam uma grande variação no número de viagens fora dos feriados. Esse comportamento é esperado, pois em datas comuns o volume de viagens varia amplamente em função de fatores externos e individuais.</w:t>
      </w:r>
    </w:p>
    <w:p w14:paraId="6B910BD3" w14:textId="77777777" w:rsidR="00600653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Interpretação dos Resultados</w:t>
      </w:r>
    </w:p>
    <w:p w14:paraId="367F88CD" w14:textId="77777777" w:rsidR="00600653" w:rsidRP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Concentração de Viagens nos Feriados:</w:t>
      </w:r>
      <w:r w:rsidRPr="00600653">
        <w:rPr>
          <w:rFonts w:ascii="Arial" w:hAnsi="Arial" w:cs="Arial"/>
          <w:sz w:val="24"/>
          <w:szCs w:val="24"/>
        </w:rPr>
        <w:t xml:space="preserve"> A data de 07/09 (Independência do Brasil) é a mais popular para viagens, indicando que esse feriado é uma oportunidade frequente para viagens, talvez devido ao clima e ao período do ano.</w:t>
      </w:r>
    </w:p>
    <w:p w14:paraId="55AFF0B8" w14:textId="77777777" w:rsidR="00600653" w:rsidRP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Variação Fora dos Feriados:</w:t>
      </w:r>
      <w:r w:rsidRPr="00600653">
        <w:rPr>
          <w:rFonts w:ascii="Arial" w:hAnsi="Arial" w:cs="Arial"/>
          <w:sz w:val="24"/>
          <w:szCs w:val="24"/>
        </w:rPr>
        <w:t xml:space="preserve"> Observa-se que a quantidade de viagens fora de feriados apresenta uma variação muito ampla, o que sugere que essas viagens são mais influenciadas por fatores sazonais e pessoais do que por datas específicas.</w:t>
      </w:r>
    </w:p>
    <w:p w14:paraId="59B2B149" w14:textId="77777777" w:rsidR="00600653" w:rsidRDefault="00600653" w:rsidP="00600653">
      <w:pPr>
        <w:numPr>
          <w:ilvl w:val="0"/>
          <w:numId w:val="3"/>
        </w:num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Dispersão Geral dos Dados:</w:t>
      </w:r>
      <w:r w:rsidRPr="00600653">
        <w:rPr>
          <w:rFonts w:ascii="Arial" w:hAnsi="Arial" w:cs="Arial"/>
          <w:sz w:val="24"/>
          <w:szCs w:val="24"/>
        </w:rPr>
        <w:t xml:space="preserve"> As variâncias e os desvios padrão indicam que as viagens em feriados como o Dia da Independência e a Proclamação da República tendem a ter maiores picos e variabilidade em relação a outras datas.</w:t>
      </w:r>
    </w:p>
    <w:p w14:paraId="3DAA8B6E" w14:textId="40EA4419" w:rsidR="00600653" w:rsidRDefault="00600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F9586B" w14:textId="3D25657B" w:rsidR="003A416A" w:rsidRPr="00600653" w:rsidRDefault="00600653" w:rsidP="00600653">
      <w:pPr>
        <w:spacing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4D9C771" wp14:editId="521AE79D">
            <wp:simplePos x="0" y="0"/>
            <wp:positionH relativeFrom="column">
              <wp:posOffset>2672715</wp:posOffset>
            </wp:positionH>
            <wp:positionV relativeFrom="paragraph">
              <wp:posOffset>354330</wp:posOffset>
            </wp:positionV>
            <wp:extent cx="3762161" cy="3412271"/>
            <wp:effectExtent l="0" t="0" r="0" b="0"/>
            <wp:wrapNone/>
            <wp:docPr id="1472795073" name="Imagem 1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5073" name="Imagem 1" descr="Gráfico, Gráfico de barras, Histo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161" cy="3412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D12AD6" wp14:editId="5F5FF12E">
            <wp:simplePos x="0" y="0"/>
            <wp:positionH relativeFrom="column">
              <wp:posOffset>-1022986</wp:posOffset>
            </wp:positionH>
            <wp:positionV relativeFrom="paragraph">
              <wp:posOffset>412115</wp:posOffset>
            </wp:positionV>
            <wp:extent cx="3762375" cy="3375326"/>
            <wp:effectExtent l="0" t="0" r="0" b="0"/>
            <wp:wrapNone/>
            <wp:docPr id="90873301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3012" name="Imagem 1" descr="Gráfico, Gráfico de barr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11" cy="3375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53">
        <w:rPr>
          <w:rFonts w:ascii="Arial" w:hAnsi="Arial" w:cs="Arial"/>
          <w:b/>
          <w:bCs/>
          <w:sz w:val="24"/>
          <w:szCs w:val="24"/>
        </w:rPr>
        <w:t xml:space="preserve">Gráfico </w:t>
      </w:r>
      <w:r w:rsidR="00E053E1">
        <w:rPr>
          <w:rFonts w:ascii="Arial" w:hAnsi="Arial" w:cs="Arial"/>
          <w:b/>
          <w:bCs/>
          <w:sz w:val="24"/>
          <w:szCs w:val="24"/>
        </w:rPr>
        <w:t>4</w:t>
      </w:r>
      <w:r w:rsidRPr="00600653">
        <w:rPr>
          <w:rFonts w:ascii="Arial" w:hAnsi="Arial" w:cs="Arial"/>
          <w:b/>
          <w:bCs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00653">
        <w:rPr>
          <w:rFonts w:ascii="Arial" w:hAnsi="Arial" w:cs="Arial"/>
          <w:b/>
          <w:bCs/>
          <w:sz w:val="24"/>
          <w:szCs w:val="24"/>
        </w:rPr>
        <w:t xml:space="preserve">Gráfico </w:t>
      </w:r>
      <w:r w:rsidR="00E053E1">
        <w:rPr>
          <w:rFonts w:ascii="Arial" w:hAnsi="Arial" w:cs="Arial"/>
          <w:b/>
          <w:bCs/>
          <w:sz w:val="24"/>
          <w:szCs w:val="24"/>
        </w:rPr>
        <w:t>5</w:t>
      </w:r>
      <w:r w:rsidRPr="00600653">
        <w:rPr>
          <w:rFonts w:ascii="Arial" w:hAnsi="Arial" w:cs="Arial"/>
          <w:b/>
          <w:bCs/>
          <w:sz w:val="24"/>
          <w:szCs w:val="24"/>
        </w:rPr>
        <w:t>°</w:t>
      </w:r>
    </w:p>
    <w:p w14:paraId="525038B7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54D3CA38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6930F6D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5CB5966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2C96B008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14DC3920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08FB6755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3E947F22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1D8145C3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B8ED2C6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3B8A6A1C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D4682A6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7CD53D49" w14:textId="77777777" w:rsidR="00600653" w:rsidRPr="00600653" w:rsidRDefault="00600653" w:rsidP="00600653">
      <w:pPr>
        <w:rPr>
          <w:rFonts w:ascii="Arial" w:hAnsi="Arial" w:cs="Arial"/>
          <w:sz w:val="24"/>
          <w:szCs w:val="24"/>
        </w:rPr>
      </w:pPr>
    </w:p>
    <w:p w14:paraId="4FD496CD" w14:textId="492EB895" w:rsidR="00600653" w:rsidRPr="00600653" w:rsidRDefault="00600653" w:rsidP="00600653">
      <w:pPr>
        <w:tabs>
          <w:tab w:val="left" w:pos="5565"/>
        </w:tabs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 xml:space="preserve">Gráfico </w:t>
      </w:r>
      <w:r w:rsidR="00E053E1">
        <w:rPr>
          <w:rFonts w:ascii="Arial" w:hAnsi="Arial" w:cs="Arial"/>
          <w:b/>
          <w:bCs/>
          <w:sz w:val="24"/>
          <w:szCs w:val="24"/>
        </w:rPr>
        <w:t>4</w:t>
      </w:r>
      <w:r w:rsidRPr="00600653">
        <w:rPr>
          <w:rFonts w:ascii="Arial" w:hAnsi="Arial" w:cs="Arial"/>
          <w:b/>
          <w:bCs/>
          <w:sz w:val="24"/>
          <w:szCs w:val="24"/>
        </w:rPr>
        <w:t>: Número de Viagens Durante Feriados</w:t>
      </w:r>
    </w:p>
    <w:p w14:paraId="29AA296A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 primeiro gráfico mostra o número de viagens realizadas especificamente durante feriados ao longo do ano. Observa-se que:</w:t>
      </w:r>
    </w:p>
    <w:p w14:paraId="0003936A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 data com o maior número de viagens é o feriado de 07/09/2019 (Independência do Brasil), com um pico de aproximadamente 153 viagens.</w:t>
      </w:r>
    </w:p>
    <w:p w14:paraId="243AFD0F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 feriado de 12/10/2019 também apresenta um número considerável de viagens, sendo o segundo mais popular entre os feriados.</w:t>
      </w:r>
    </w:p>
    <w:p w14:paraId="060B0118" w14:textId="77777777" w:rsidR="00600653" w:rsidRPr="00600653" w:rsidRDefault="00600653" w:rsidP="00600653">
      <w:pPr>
        <w:numPr>
          <w:ilvl w:val="0"/>
          <w:numId w:val="4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Outros feriados, como o de 01/05 (Dia do Trabalhador) e 02/11 (Finados), também têm uma quantidade significativa de viagens, embora em menor volume quando comparados aos dois feriados mais movimentados.</w:t>
      </w:r>
    </w:p>
    <w:p w14:paraId="6F35B272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Essa distribuição sugere que os feriados prolongados e de grande importância nacional tendem a ser as datas mais populares para viagens, o que pode estar relacionado ao desejo de aproveitar essas pausas para descanso ou lazer.</w:t>
      </w:r>
    </w:p>
    <w:p w14:paraId="7A0BB4DC" w14:textId="6A2E0F47" w:rsidR="00600653" w:rsidRPr="00600653" w:rsidRDefault="00600653" w:rsidP="00600653">
      <w:pPr>
        <w:tabs>
          <w:tab w:val="left" w:pos="5565"/>
        </w:tabs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 xml:space="preserve">Gráfico </w:t>
      </w:r>
      <w:r w:rsidR="00E053E1">
        <w:rPr>
          <w:rFonts w:ascii="Arial" w:hAnsi="Arial" w:cs="Arial"/>
          <w:b/>
          <w:bCs/>
          <w:sz w:val="24"/>
          <w:szCs w:val="24"/>
        </w:rPr>
        <w:t>5</w:t>
      </w:r>
      <w:r w:rsidRPr="00600653">
        <w:rPr>
          <w:rFonts w:ascii="Arial" w:hAnsi="Arial" w:cs="Arial"/>
          <w:b/>
          <w:bCs/>
          <w:sz w:val="24"/>
          <w:szCs w:val="24"/>
        </w:rPr>
        <w:t>: Número de Viagens Fora de Feriados</w:t>
      </w:r>
    </w:p>
    <w:p w14:paraId="2E2664AB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O segundo gráfico representa o número de viagens em dias que não são feriados, mas próximos a datas relevantes ao longo do ano de 2019. A análise mostra que:</w:t>
      </w:r>
    </w:p>
    <w:p w14:paraId="11F0BAA2" w14:textId="77777777" w:rsidR="00600653" w:rsidRPr="00600653" w:rsidRDefault="00600653" w:rsidP="00600653">
      <w:pPr>
        <w:numPr>
          <w:ilvl w:val="0"/>
          <w:numId w:val="5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lastRenderedPageBreak/>
        <w:t>As datas ao redor de 07/09/2019 e 12/10/2019 continuam a ter uma alta concentração de viagens, mesmo fora dos feriados oficiais.</w:t>
      </w:r>
    </w:p>
    <w:p w14:paraId="5B348967" w14:textId="77777777" w:rsidR="00600653" w:rsidRPr="00600653" w:rsidRDefault="00600653" w:rsidP="00600653">
      <w:pPr>
        <w:numPr>
          <w:ilvl w:val="0"/>
          <w:numId w:val="5"/>
        </w:num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Há uma maior dispersão no número de viagens fora de feriados, com valores relativamente altos, que variam conforme o período, mas tendem a ser menores que nos dias de feriados oficiais.</w:t>
      </w:r>
    </w:p>
    <w:p w14:paraId="0988293C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Essa variação maior fora dos feriados indica que, embora não estejam diretamente ligados a feriados específicos, esses dias podem ser utilizados para viagens influenciadas por fatores sazonais, como condições climáticas favoráveis, ou por motivos pessoais, como férias escolares e demandas específicas.</w:t>
      </w:r>
    </w:p>
    <w:p w14:paraId="47A29D17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b/>
          <w:bCs/>
          <w:sz w:val="24"/>
          <w:szCs w:val="24"/>
        </w:rPr>
      </w:pPr>
      <w:r w:rsidRPr="00600653">
        <w:rPr>
          <w:rFonts w:ascii="Arial" w:hAnsi="Arial" w:cs="Arial"/>
          <w:b/>
          <w:bCs/>
          <w:sz w:val="24"/>
          <w:szCs w:val="24"/>
        </w:rPr>
        <w:t>Conclusão</w:t>
      </w:r>
    </w:p>
    <w:p w14:paraId="44716155" w14:textId="77777777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  <w:r w:rsidRPr="00600653">
        <w:rPr>
          <w:rFonts w:ascii="Arial" w:hAnsi="Arial" w:cs="Arial"/>
          <w:sz w:val="24"/>
          <w:szCs w:val="24"/>
        </w:rPr>
        <w:t>A análise dos gráficos revela que feriados, especialmente o Dia da Independência e o Dia de Nossa Senhora Aparecida, são as datas mais populares para viagens. Isso reflete uma preferência por aproveitar essas pausas para lazer e descanso. Em contrapartida, a variação de viagens fora dos feriados é mais ampla, sugerindo que viagens nesses dias podem depender mais de fatores sazonais e escolhas pessoais do que de datas específicas. Essas informações são valiosas para entender padrões de mobilidade e para o planejamento de serviços relacionados ao transporte e turismo.</w:t>
      </w:r>
    </w:p>
    <w:p w14:paraId="7DF7F179" w14:textId="4CAFDBE2" w:rsidR="00600653" w:rsidRPr="00600653" w:rsidRDefault="00600653" w:rsidP="00600653">
      <w:pPr>
        <w:tabs>
          <w:tab w:val="left" w:pos="5565"/>
        </w:tabs>
        <w:rPr>
          <w:rFonts w:ascii="Arial" w:hAnsi="Arial" w:cs="Arial"/>
          <w:sz w:val="24"/>
          <w:szCs w:val="24"/>
        </w:rPr>
      </w:pPr>
    </w:p>
    <w:sectPr w:rsidR="00600653" w:rsidRPr="00600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0AC"/>
    <w:multiLevelType w:val="multilevel"/>
    <w:tmpl w:val="94B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488"/>
    <w:multiLevelType w:val="multilevel"/>
    <w:tmpl w:val="BAE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41D17"/>
    <w:multiLevelType w:val="multilevel"/>
    <w:tmpl w:val="522A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37CD7"/>
    <w:multiLevelType w:val="multilevel"/>
    <w:tmpl w:val="0AB2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8699E"/>
    <w:multiLevelType w:val="multilevel"/>
    <w:tmpl w:val="636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119811">
    <w:abstractNumId w:val="0"/>
  </w:num>
  <w:num w:numId="2" w16cid:durableId="157772028">
    <w:abstractNumId w:val="4"/>
  </w:num>
  <w:num w:numId="3" w16cid:durableId="1867524740">
    <w:abstractNumId w:val="3"/>
  </w:num>
  <w:num w:numId="4" w16cid:durableId="1515799893">
    <w:abstractNumId w:val="2"/>
  </w:num>
  <w:num w:numId="5" w16cid:durableId="119368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53"/>
    <w:rsid w:val="001106F7"/>
    <w:rsid w:val="001F07B4"/>
    <w:rsid w:val="003A416A"/>
    <w:rsid w:val="003E2E0F"/>
    <w:rsid w:val="004565D7"/>
    <w:rsid w:val="00513184"/>
    <w:rsid w:val="005A6F85"/>
    <w:rsid w:val="005E54CD"/>
    <w:rsid w:val="00600653"/>
    <w:rsid w:val="00697D3E"/>
    <w:rsid w:val="00982AFC"/>
    <w:rsid w:val="00A41D16"/>
    <w:rsid w:val="00A82872"/>
    <w:rsid w:val="00C327DD"/>
    <w:rsid w:val="00CB4136"/>
    <w:rsid w:val="00E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9CDB"/>
  <w15:chartTrackingRefBased/>
  <w15:docId w15:val="{4A558C0D-4F7D-42F1-B13D-02B0E64C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6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6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6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6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6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6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6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6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6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6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1134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Sudario Abreu</dc:creator>
  <cp:keywords/>
  <dc:description/>
  <cp:lastModifiedBy>Vitor Tokunaga</cp:lastModifiedBy>
  <cp:revision>4</cp:revision>
  <dcterms:created xsi:type="dcterms:W3CDTF">2024-11-17T17:02:00Z</dcterms:created>
  <dcterms:modified xsi:type="dcterms:W3CDTF">2024-11-17T17:31:00Z</dcterms:modified>
</cp:coreProperties>
</file>