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09 March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5"/>
                <w:szCs w:val="25"/>
                <w:highlight w:val="white"/>
                <w:rtl w:val="0"/>
              </w:rPr>
              <w:t xml:space="preserve">SWTID-2026-2963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pPr w:leftFromText="180" w:rightFromText="180" w:topFromText="180" w:bottomFromText="180" w:vertAnchor="text" w:horzAnchor="text" w:tblpX="150" w:tblpY="224.3806966145837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8.5469091644444"/>
        <w:gridCol w:w="3626.623525991836"/>
        <w:gridCol w:w="4510.341375867343"/>
        <w:tblGridChange w:id="0">
          <w:tblGrid>
            <w:gridCol w:w="888.5469091644444"/>
            <w:gridCol w:w="3626.623525991836"/>
            <w:gridCol w:w="4510.341375867343"/>
          </w:tblGrid>
        </w:tblGridChange>
      </w:tblGrid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 &amp; Authorization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Registration with email and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password hashing using bcrypt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Login with credential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JWT Token generation on successful login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Protected routes using authentication middleware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Secure Logout functionality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 Management (CRUD Operations)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all books created by logged-in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single book by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book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Delete book record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Database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Store user data securely in database</w:t>
            </w:r>
          </w:p>
        </w:tc>
      </w:tr>
    </w:tbl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6.1110198303866"/>
        <w:gridCol w:w="2062.0083163761838"/>
        <w:gridCol w:w="6147.392474817053"/>
        <w:tblGridChange w:id="0">
          <w:tblGrid>
            <w:gridCol w:w="816.1110198303866"/>
            <w:gridCol w:w="2062.0083163761838"/>
            <w:gridCol w:w="6147.39247481705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60" w:line="259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be well-structured, RESTful, and easy to integrate with any frontend application. API endpoints must follow consistent naming conventions and clear response formats (JSON).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 API requests must be secured using JWT authentication. Passwords must be encrypted using bcrypt. Unauthorized access to protected routes must be restricted.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system should handle requests consistently without crashes. Proper error handling and meaningful HTTP status codes must be implemented to ensure stable performance.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API should respond to user requests within acceptable time (ideally under 2 seconds). Database queries should be optimized to ensure fast CRUD operations.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backend service should be accessible whenever required and capable of running continuously without unexpected downtime.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Scalability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be designed to handle increasing numbers of users and book records without performance degradation. The architecture should support future feature expansion.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Maintainability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codebase should follow clean architecture principles, modular structure, and proper documentation to ensure easy maintenance and future enhancements.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Integrity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must ensure accurate storage and retrieval of user and book data, preventing duplication, corruption, or unauthorized modification.</w:t>
            </w:r>
          </w:p>
        </w:tc>
      </w:tr>
    </w:tbl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hHTKVzW9PCxdn1IxCPnrzy5Hpg==">CgMxLjA4AHIhMU5CTTh5VnVwbzhkbnNrLVd5YmtuSXA3VHhUZERMaW9Z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