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Fonts w:ascii="Calibri" w:cs="Calibri" w:eastAsia="Calibri" w:hAnsi="Calibri"/>
                <w:rtl w:val="0"/>
              </w:rPr>
              <w:t xml:space="preserve">09 March 2026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5"/>
                <w:szCs w:val="25"/>
                <w:highlight w:val="white"/>
                <w:rtl w:val="0"/>
              </w:rPr>
              <w:t xml:space="preserve">SWTID-2026-2963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sz w:val="20"/>
                <w:szCs w:val="20"/>
                <w:rtl w:val="0"/>
              </w:rPr>
              <w:t xml:space="preserve">Libspace</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spacing w:after="160" w:line="259" w:lineRule="auto"/>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0F">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7264190290822"/>
        <w:gridCol w:w="1859.1878262408213"/>
        <w:gridCol w:w="6480.59756575372"/>
        <w:tblGridChange w:id="0">
          <w:tblGrid>
            <w:gridCol w:w="685.7264190290822"/>
            <w:gridCol w:w="1859.1878262408213"/>
            <w:gridCol w:w="6480.597565753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rtl w:val="0"/>
              </w:rPr>
              <w:t xml:space="preserve">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rtl w:val="0"/>
              </w:rPr>
              <w:t xml:space="preserve">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rtl w:val="0"/>
              </w:rPr>
              <w:t xml:space="preserve">The system enables small libraries and individuals to manage book records efficiently without relying on complex or expensive software. Secure backend APIs promote data privacy, reliability, and scalability, improving overall user trust and satisfaction.</w:t>
            </w:r>
          </w:p>
        </w:tc>
      </w:tr>
    </w:tbl>
    <w:p w:rsidR="00000000" w:rsidDel="00000000" w:rsidP="00000000" w:rsidRDefault="00000000" w:rsidRPr="00000000" w14:paraId="0000001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KlNQgGRsydq7HGmjk+5/gwZaQ==">CgMxLjA4AHIhMUNteEtZcUtXSExsMnJRcUdNdi1QMmQwU1l0aVFBNWRp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