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B3A6B"/>
          <w:sz w:val="28"/>
          <w:szCs w:val="28"/>
          <w:b w:val="1"/>
          <w:bCs w:val="1"/>
        </w:rPr>
        <w:t xml:space="preserve">CARTA PORTE MUDANZA FORÁNEA</w:t>
      </w:r>
    </w:p>
    <w:p>
      <w:pPr/>
      <w:r>
        <w:rPr>
          <w:color w:val="1B3A6B"/>
          <w:sz w:val="24"/>
          <w:szCs w:val="24"/>
          <w:b w:val="1"/>
          <w:bCs w:val="1"/>
        </w:rPr>
        <w:t xml:space="preserve">FLETESCUN</w:t>
      </w:r>
    </w:p>
    <w:p>
      <w:pPr/>
      <w:r>
        <w:rPr/>
        <w:t xml:space="preserve">Folio: ${folio}</w:t>
      </w:r>
    </w:p>
    <w:p>
      <w:pPr/>
      <w:r>
        <w:rPr/>
        <w:t xml:space="preserve">Fecha expedición: ${fecha_expedicion}</w:t>
      </w:r>
    </w:p>
    <w:p/>
    <w:p>
      <w:pPr/>
      <w:r>
        <w:rPr>
          <w:color w:val="1B3A6B"/>
          <w:b w:val="1"/>
          <w:bCs w:val="1"/>
        </w:rPr>
        <w:t xml:space="preserve">DATOS DE ORIGEN</w:t>
      </w:r>
    </w:p>
    <w:tbl>
      <w:tblGrid>
        <w:gridCol w:w="3000" w:type="dxa"/>
        <w:gridCol w:w="9000" w:type="dxa"/>
      </w:tblGrid>
      <w:tblPr>
        <w:tblW w:w="0" w:type="auto"/>
        <w:tblLayout w:type="autofit"/>
        <w:bidiVisual w:val="0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6" w:color="D1D5DB"/>
          <w:left w:val="single" w:sz="6" w:color="D1D5DB"/>
          <w:right w:val="single" w:sz="6" w:color="D1D5DB"/>
          <w:bottom w:val="single" w:sz="6" w:color="D1D5DB"/>
          <w:insideH w:val="single" w:sz="6" w:color="D1D5DB"/>
          <w:insideV w:val="single" w:sz="6" w:color="D1D5DB"/>
        </w:tblBorders>
      </w:tblPr>
      <w:tr>
        <w:trPr/>
        <w:tc>
          <w:tcPr>
            <w:tcW w:w="12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INFORMACION DE ORIGEN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Remitente</w:t>
            </w:r>
          </w:p>
        </w:tc>
        <w:tc>
          <w:tcPr>
            <w:tcW w:w="9000" w:type="dxa"/>
          </w:tcPr>
          <w:p>
            <w:pPr/>
            <w:r>
              <w:rPr/>
              <w:t xml:space="preserve">${cliente_nombre}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Telefono</w:t>
            </w:r>
          </w:p>
        </w:tc>
        <w:tc>
          <w:tcPr>
            <w:tcW w:w="9000" w:type="dxa"/>
          </w:tcPr>
          <w:p>
            <w:pPr/>
            <w:r>
              <w:rPr/>
              <w:t xml:space="preserve">${cliente_telefono}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Correo</w:t>
            </w:r>
          </w:p>
        </w:tc>
        <w:tc>
          <w:tcPr>
            <w:tcW w:w="9000" w:type="dxa"/>
          </w:tcPr>
          <w:p>
            <w:pPr/>
            <w:r>
              <w:rPr/>
              <w:t xml:space="preserve">${cliente_correo}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Direccion</w:t>
            </w:r>
          </w:p>
        </w:tc>
        <w:tc>
          <w:tcPr>
            <w:tcW w:w="9000" w:type="dxa"/>
          </w:tcPr>
          <w:p>
            <w:pPr/>
            <w:r>
              <w:rPr/>
              <w:t xml:space="preserve">${origen_direccion}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Piso</w:t>
            </w:r>
          </w:p>
        </w:tc>
        <w:tc>
          <w:tcPr>
            <w:tcW w:w="9000" w:type="dxa"/>
          </w:tcPr>
          <w:p>
            <w:pPr/>
            <w:r>
              <w:rPr/>
              <w:t xml:space="preserve">${origen_piso}</w:t>
            </w:r>
          </w:p>
        </w:tc>
      </w:tr>
    </w:tbl>
    <w:p/>
    <w:p>
      <w:pPr/>
      <w:r>
        <w:rPr>
          <w:color w:val="1B3A6B"/>
          <w:b w:val="1"/>
          <w:bCs w:val="1"/>
        </w:rPr>
        <w:t xml:space="preserve">DATOS DE DESTINO</w:t>
      </w:r>
    </w:p>
    <w:tbl>
      <w:tblGrid>
        <w:gridCol w:w="3000" w:type="dxa"/>
        <w:gridCol w:w="9000" w:type="dxa"/>
      </w:tblGrid>
      <w:tblPr>
        <w:tblW w:w="0" w:type="auto"/>
        <w:tblLayout w:type="autofit"/>
        <w:bidiVisual w:val="0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6" w:color="D1D5DB"/>
          <w:left w:val="single" w:sz="6" w:color="D1D5DB"/>
          <w:right w:val="single" w:sz="6" w:color="D1D5DB"/>
          <w:bottom w:val="single" w:sz="6" w:color="D1D5DB"/>
          <w:insideH w:val="single" w:sz="6" w:color="D1D5DB"/>
          <w:insideV w:val="single" w:sz="6" w:color="D1D5DB"/>
        </w:tblBorders>
      </w:tblPr>
      <w:tr>
        <w:trPr/>
        <w:tc>
          <w:tcPr>
            <w:tcW w:w="12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INFORMACION DE DESTINO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Destinatario</w:t>
            </w:r>
          </w:p>
        </w:tc>
        <w:tc>
          <w:tcPr>
            <w:tcW w:w="9000" w:type="dxa"/>
          </w:tcPr>
          <w:p>
            <w:pPr/>
            <w:r>
              <w:rPr/>
              <w:t xml:space="preserve">${cliente_nombre}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Direccion</w:t>
            </w:r>
          </w:p>
        </w:tc>
        <w:tc>
          <w:tcPr>
            <w:tcW w:w="9000" w:type="dxa"/>
          </w:tcPr>
          <w:p>
            <w:pPr/>
            <w:r>
              <w:rPr/>
              <w:t xml:space="preserve">${destino_direccion}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Piso</w:t>
            </w:r>
          </w:p>
        </w:tc>
        <w:tc>
          <w:tcPr>
            <w:tcW w:w="9000" w:type="dxa"/>
          </w:tcPr>
          <w:p>
            <w:pPr/>
            <w:r>
              <w:rPr/>
              <w:t xml:space="preserve">${destino_piso}</w:t>
            </w:r>
          </w:p>
        </w:tc>
      </w:tr>
    </w:tbl>
    <w:p/>
    <w:p>
      <w:pPr/>
      <w:r>
        <w:rPr>
          <w:color w:val="1B3A6B"/>
          <w:b w:val="1"/>
          <w:bCs w:val="1"/>
        </w:rPr>
        <w:t xml:space="preserve">INVENTARIO DECLARADO</w:t>
      </w:r>
    </w:p>
    <w:tbl>
      <w:tblGrid>
        <w:gridCol w:w="1500" w:type="dxa"/>
        <w:gridCol w:w="6000" w:type="dxa"/>
        <w:gridCol w:w="6000" w:type="dxa"/>
      </w:tblGrid>
      <w:tblPr>
        <w:tblW w:w="0" w:type="auto"/>
        <w:tblLayout w:type="autofit"/>
        <w:bidiVisual w:val="0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6" w:color="D1D5DB"/>
          <w:left w:val="single" w:sz="6" w:color="D1D5DB"/>
          <w:right w:val="single" w:sz="6" w:color="D1D5DB"/>
          <w:bottom w:val="single" w:sz="6" w:color="D1D5DB"/>
          <w:insideH w:val="single" w:sz="6" w:color="D1D5DB"/>
          <w:insideV w:val="single" w:sz="6" w:color="D1D5DB"/>
        </w:tblBorders>
      </w:tblPr>
      <w:tr>
        <w:trPr/>
        <w:tc>
          <w:tcPr>
            <w:tcW w:w="15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Cantidad</w:t>
            </w:r>
          </w:p>
        </w:tc>
        <w:tc>
          <w:tcPr>
            <w:tcW w:w="6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Artículo</w:t>
            </w:r>
          </w:p>
        </w:tc>
        <w:tc>
          <w:tcPr>
            <w:tcW w:w="6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Observación</w:t>
            </w:r>
          </w:p>
        </w:tc>
      </w:tr>
      <w:tr>
        <w:trPr/>
        <w:tc>
          <w:tcPr>
            <w:tcW w:w="1500" w:type="dxa"/>
          </w:tcPr>
          <w:p>
            <w:pPr/>
            <w:r>
              <w:rPr/>
              <w:t xml:space="preserve">${inv_cantidad}</w:t>
            </w:r>
          </w:p>
        </w:tc>
        <w:tc>
          <w:tcPr>
            <w:tcW w:w="6000" w:type="dxa"/>
          </w:tcPr>
          <w:p>
            <w:pPr/>
            <w:r>
              <w:rPr/>
              <w:t xml:space="preserve">${inv_articulo}</w:t>
            </w:r>
          </w:p>
        </w:tc>
        <w:tc>
          <w:tcPr>
            <w:tcW w:w="6000" w:type="dxa"/>
          </w:tcPr>
          <w:p>
            <w:pPr/>
            <w:r>
              <w:rPr/>
              <w:t xml:space="preserve">${inv_observacion}</w:t>
            </w:r>
          </w:p>
        </w:tc>
      </w:tr>
    </w:tbl>
    <w:p/>
    <w:p>
      <w:pPr/>
      <w:r>
        <w:rPr>
          <w:color w:val="1B3A6B"/>
          <w:b w:val="1"/>
          <w:bCs w:val="1"/>
        </w:rPr>
        <w:t xml:space="preserve">SERVICIOS ADICIONALES</w:t>
      </w:r>
    </w:p>
    <w:tbl>
      <w:tblGrid>
        <w:gridCol w:w="12000" w:type="dxa"/>
      </w:tblGrid>
      <w:tblPr>
        <w:tblW w:w="0" w:type="auto"/>
        <w:tblLayout w:type="autofit"/>
        <w:bidiVisual w:val="0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6" w:color="D1D5DB"/>
          <w:left w:val="single" w:sz="6" w:color="D1D5DB"/>
          <w:right w:val="single" w:sz="6" w:color="D1D5DB"/>
          <w:bottom w:val="single" w:sz="6" w:color="D1D5DB"/>
          <w:insideH w:val="single" w:sz="6" w:color="D1D5DB"/>
          <w:insideV w:val="single" w:sz="6" w:color="D1D5DB"/>
        </w:tblBorders>
      </w:tblPr>
      <w:tr>
        <w:trPr/>
        <w:tc>
          <w:tcPr>
            <w:tcW w:w="12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SERVICIO</w:t>
            </w:r>
          </w:p>
        </w:tc>
      </w:tr>
      <w:tr>
        <w:trPr/>
        <w:tc>
          <w:tcPr>
            <w:tcW w:w="12000" w:type="dxa"/>
          </w:tcPr>
          <w:p>
            <w:pPr/>
            <w:r>
              <w:rPr/>
              <w:t xml:space="preserve">${servicio}</w:t>
            </w:r>
          </w:p>
        </w:tc>
      </w:tr>
    </w:tbl>
    <w:p/>
    <w:p>
      <w:pPr/>
      <w:r>
        <w:rPr>
          <w:color w:val="1B3A6B"/>
          <w:b w:val="1"/>
          <w:bCs w:val="1"/>
        </w:rPr>
        <w:t xml:space="preserve">DESGLOSE DE PRECIOS</w:t>
      </w:r>
    </w:p>
    <w:tbl>
      <w:tblGrid>
        <w:gridCol w:w="7000" w:type="dxa"/>
        <w:gridCol w:w="3000" w:type="dxa"/>
      </w:tblGrid>
      <w:tblPr>
        <w:tblW w:w="0" w:type="auto"/>
        <w:tblLayout w:type="autofit"/>
        <w:bidiVisual w:val="0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6" w:color="D1D5DB"/>
          <w:left w:val="single" w:sz="6" w:color="D1D5DB"/>
          <w:right w:val="single" w:sz="6" w:color="D1D5DB"/>
          <w:bottom w:val="single" w:sz="6" w:color="D1D5DB"/>
          <w:insideH w:val="single" w:sz="6" w:color="D1D5DB"/>
          <w:insideV w:val="single" w:sz="6" w:color="D1D5DB"/>
        </w:tblBorders>
      </w:tblPr>
      <w:tr>
        <w:trPr/>
        <w:tc>
          <w:tcPr>
            <w:tcW w:w="7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Concepto</w:t>
            </w:r>
          </w:p>
        </w:tc>
        <w:tc>
          <w:tcPr>
            <w:tcW w:w="3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Monto</w:t>
            </w:r>
          </w:p>
        </w:tc>
      </w:tr>
      <w:tr>
        <w:trPr/>
        <w:tc>
          <w:tcPr>
            <w:tcW w:w="7000" w:type="dxa"/>
          </w:tcPr>
          <w:p>
            <w:pPr/>
            <w:r>
              <w:rPr/>
              <w:t xml:space="preserve">Volumen (${volumen_m3} m3)</w:t>
            </w:r>
          </w:p>
        </w:tc>
        <w:tc>
          <w:tcPr>
            <w:tcW w:w="3000" w:type="dxa"/>
          </w:tcPr>
          <w:p>
            <w:pPr/>
            <w:r>
              <w:rPr/>
              <w:t xml:space="preserve">${precio_volumen}</w:t>
            </w:r>
          </w:p>
        </w:tc>
      </w:tr>
      <w:tr>
        <w:trPr/>
        <w:tc>
          <w:tcPr>
            <w:tcW w:w="7000" w:type="dxa"/>
          </w:tcPr>
          <w:p>
            <w:pPr/>
            <w:r>
              <w:rPr/>
              <w:t xml:space="preserve">Distancia (${distancia_km} km)</w:t>
            </w:r>
          </w:p>
        </w:tc>
        <w:tc>
          <w:tcPr>
            <w:tcW w:w="3000" w:type="dxa"/>
          </w:tcPr>
          <w:p>
            <w:pPr/>
            <w:r>
              <w:rPr/>
              <w:t xml:space="preserve">${precio_distancia}</w:t>
            </w:r>
          </w:p>
        </w:tc>
      </w:tr>
      <w:tr>
        <w:trPr/>
        <w:tc>
          <w:tcPr>
            <w:tcW w:w="7000" w:type="dxa"/>
          </w:tcPr>
          <w:p>
            <w:pPr/>
            <w:r>
              <w:rPr/>
              <w:t xml:space="preserve">Maniobra por piso</w:t>
            </w:r>
          </w:p>
        </w:tc>
        <w:tc>
          <w:tcPr>
            <w:tcW w:w="3000" w:type="dxa"/>
          </w:tcPr>
          <w:p>
            <w:pPr/>
            <w:r>
              <w:rPr/>
              <w:t xml:space="preserve">${precio_piso}</w:t>
            </w:r>
          </w:p>
        </w:tc>
      </w:tr>
      <w:tr>
        <w:trPr/>
        <w:tc>
          <w:tcPr>
            <w:tcW w:w="7000" w:type="dxa"/>
          </w:tcPr>
          <w:p>
            <w:pPr/>
            <w:r>
              <w:rPr/>
              <w:t xml:space="preserve">Costos fijos</w:t>
            </w:r>
          </w:p>
        </w:tc>
        <w:tc>
          <w:tcPr>
            <w:tcW w:w="3000" w:type="dxa"/>
          </w:tcPr>
          <w:p>
            <w:pPr/>
            <w:r>
              <w:rPr/>
              <w:t xml:space="preserve">${precio_fijos}</w:t>
            </w:r>
          </w:p>
        </w:tc>
      </w:tr>
      <w:tr>
        <w:trPr/>
        <w:tc>
          <w:tcPr>
            <w:tcW w:w="7000" w:type="dxa"/>
          </w:tcPr>
          <w:p>
            <w:pPr/>
            <w:r>
              <w:rPr/>
              <w:t xml:space="preserve">Subtotal base</w:t>
            </w:r>
          </w:p>
        </w:tc>
        <w:tc>
          <w:tcPr>
            <w:tcW w:w="3000" w:type="dxa"/>
          </w:tcPr>
          <w:p>
            <w:pPr/>
            <w:r>
              <w:rPr/>
              <w:t xml:space="preserve">${subtotal_base}</w:t>
            </w:r>
          </w:p>
        </w:tc>
      </w:tr>
      <w:tr>
        <w:trPr/>
        <w:tc>
          <w:tcPr>
            <w:tcW w:w="7000" w:type="dxa"/>
          </w:tcPr>
          <w:p>
            <w:pPr/>
            <w:r>
              <w:rPr/>
              <w:t xml:space="preserve">IVA (${iva_pct}%)</w:t>
            </w:r>
          </w:p>
        </w:tc>
        <w:tc>
          <w:tcPr>
            <w:tcW w:w="3000" w:type="dxa"/>
          </w:tcPr>
          <w:p>
            <w:pPr/>
            <w:r>
              <w:rPr/>
              <w:t xml:space="preserve">${iva_monto}</w:t>
            </w:r>
          </w:p>
        </w:tc>
      </w:tr>
      <w:tr>
        <w:trPr/>
        <w:tc>
          <w:tcPr>
            <w:tcW w:w="7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TOTAL</w:t>
            </w:r>
          </w:p>
        </w:tc>
        <w:tc>
          <w:tcPr>
            <w:tcW w:w="3000" w:type="dxa"/>
            <w:shd w:val="clear" w:fill="1B3A6B"/>
          </w:tcPr>
          <w:p>
            <w:pPr/>
            <w:r>
              <w:rPr>
                <w:color w:val="FFFFFF"/>
                <w:b w:val="1"/>
                <w:bCs w:val="1"/>
              </w:rPr>
              <w:t xml:space="preserve">${total_final}</w:t>
            </w:r>
          </w:p>
        </w:tc>
      </w:tr>
    </w:tbl>
    <w:p/>
    <w:p>
      <w:pPr/>
      <w:r>
        <w:rPr/>
        <w:t xml:space="preserve">MODALIDAD: ${modalidad}</w:t>
      </w:r>
    </w:p>
    <w:p>
      <w:pPr/>
      <w:r>
        <w:rPr/>
        <w:t xml:space="preserve">FECHA IDEAL DE SERVICIO: ${fecha_ideal}</w:t>
      </w:r>
    </w:p>
    <w:p>
      <w:pPr>
        <w:sectPr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color w:val="1B3A6B"/>
          <w:sz w:val="24"/>
          <w:szCs w:val="24"/>
          <w:b w:val="1"/>
          <w:bCs w:val="1"/>
        </w:rPr>
        <w:t xml:space="preserve">CONTRATO No. ${folio}</w:t>
      </w:r>
    </w:p>
    <w:p/>
    <w:p>
      <w:pPr/>
      <w:r>
        <w:rPr/>
        <w:t xml:space="preserve">CONTRATO DE PRESTACIÓN DE SERVICIOS DE AUTOTRANSPORTE DE CARGA QUE CELEBRAN POR UNA PARTE ${proveedor_nombre} COMO “EL PROVEEDOR” Y POR LA OTRA PARTE COMO “EL CONSUMIDOR”, CUYO NOMBRE, ${cliente_nombre}, Y DATOS CONSTAN EN LA CARÁTULA DE ESTE CONTRATO COMO PARTE INTEGRAL DEL MISMO, SUJETÁNDOSE AL TENOR DE LAS SIGUIENTES:</w:t>
      </w:r>
    </w:p>
    <w:p/>
    <w:p>
      <w:pPr/>
      <w:r>
        <w:rPr>
          <w:color w:val="1B3A6B"/>
          <w:b w:val="1"/>
          <w:bCs w:val="1"/>
        </w:rPr>
        <w:t xml:space="preserve">C L Á U S U L A S</w:t>
      </w:r>
    </w:p>
    <w:p/>
    <w:p>
      <w:pPr/>
      <w:r>
        <w:rPr/>
        <w:t xml:space="preserve">PRIMERA.- El objeto del presente contrato es la prestación del servicio de Transporte de Carga, el cual podrá ser local o foráneo, según se determine en la carátula.</w:t>
      </w:r>
    </w:p>
    <w:p>
      <w:pPr/>
      <w:r>
        <w:rPr/>
        <w:t xml:space="preserve">SEGUNDA.- EL PROVEEDOR se obliga a entregar a EL CONSUMIDOR una copia del presente contrato de adhesión al momento de su firma.</w:t>
      </w:r>
    </w:p>
    <w:p>
      <w:pPr/>
      <w:r>
        <w:rPr/>
        <w:t xml:space="preserve">TERCERA.- Es obligación de EL PROVEEDOR que el personal que se encargará de las maniobras de carga y descarga de los bienes se identifique plenamente ante EL CONSUMIDOR, antes de iniciar las operaciones contratadas y especifique las maniobras junto con el inventario que viene señalado en el contrato. TODO SERVICIO ADICIONAL NO CONSIDERADO EN EL INVENTARIO Y DESCRIPCIÓN DEL SERVICIO CAUSARÁ UN CARGO ADICIONAL SUJETO AL ENCARGADO DE MANIOBRAS O AL DEPARTAMENTO DE LOGÍSTICA DE LA EMPRESA.</w:t>
      </w:r>
    </w:p>
    <w:p>
      <w:pPr/>
      <w:r>
        <w:rPr/>
        <w:t xml:space="preserve">CUARTA.- Es obligación de EL CONSUMIDOR declarar verazmente al proveedor toda la información relativa a la descripción, valor, cantidad, peso y demás características de la mercancía que pretende transportar; en caso de falsedad, EL CONSUMIDOR asumirá la responsabilidad respectiva y las repercusiones en costos adicionales.</w:t>
      </w:r>
    </w:p>
    <w:p>
      <w:pPr/>
      <w:r>
        <w:rPr/>
        <w:t xml:space="preserve">QUINTA.- Es obligación de EL PROVEEDOR entregar por escrito la Carta de Garantías respectiva a la prestación del servicio. En caso de alguna eventualidad o daño en el tipo de servicio EXCLUSIVO, la empresa solo se hace responsable de cubrir dicho imprevisto con el 5% al 15% del daño del mueble, tomando en cuenta el estado en el que se encuentra dicho objeto (menaje de casa en uso); solo aplica al siguiente día después de la entrega de su mercancía y es responsabilidad del cliente la contratación de un seguro para su carga (cubre trayecto de origen y destino y solo cubre robo o siniestro).</w:t>
      </w:r>
    </w:p>
    <w:p>
      <w:pPr/>
      <w:r>
        <w:rPr/>
        <w:t xml:space="preserve">SEXTA.- En caso de algún daño en los bienes del consumidor en el tipo de servicio COMPARTIDO, la empresa solo aplica un reembolso del 1% al 10% tomando en cuenta el daño generado a los bienes y es responsabilidad del cliente la contratación de un seguro para su carga (cubre trayecto de origen y destino y solo cubre robo o siniestro).</w:t>
      </w:r>
    </w:p>
    <w:p>
      <w:pPr/>
      <w:r>
        <w:rPr/>
        <w:t xml:space="preserve">SÉPTIMA.- La empresa no se hace responsable del funcionamiento de electrónica, línea blanca y electrodomésticos. Solo se hace responsable en caso de golpes visibles causados en las maniobras. *Las plantas y cristales viajan por cuenta y riesgo del cliente; ninguna ruptura, abolladura o despostillamiento de algún ónix, piedra, mármol, etc., NO se pagará, ya que estos por su naturaleza son susceptibles a romperse.</w:t>
      </w:r>
    </w:p>
    <w:p>
      <w:pPr/>
      <w:r>
        <w:rPr/>
        <w:t xml:space="preserve">OCTAVA.- Se establece como penalización por incumplimiento de contrato para cualquiera de las partes el 15% del valor total de la operación.</w:t>
      </w:r>
    </w:p>
    <w:p>
      <w:pPr/>
      <w:r>
        <w:rPr/>
        <w:t xml:space="preserve">NOVENA.- Es responsabilidad del CLIENTE revisar el tipo de maniobras (volados, acarreos, etc.) y servicios que incluyen nuestros vendedores antes de hacer el primer depósito a cuenta de sus servicios, para evitar situaciones de conflicto.</w:t>
      </w:r>
    </w:p>
    <w:p>
      <w:pPr/>
      <w:r>
        <w:rPr/>
        <w:t xml:space="preserve">DÉCIMA.- El cliente enviará por correo o mediante un mensaje de texto el comprobante del 10% Y el 60% cuando esté el producto en la unidad Y EL 30% antes de entregar en destino.</w:t>
      </w:r>
    </w:p>
    <w:p>
      <w:pPr/>
      <w:r>
        <w:rPr/>
        <w:t xml:space="preserve">DÉCIMA PRIMERA.- La Procuraduría Federal del Consumidor es competente en la vía administrativa para resolver controversia que se suscite sobre la interpretación o cumplimiento del presente contrato; sin perjuicio de lo anterior, las partes se someten a la jurisdicción de los tribunales competentes en la Ciudad de México, renunciando expresamente a cualquier otra jurisdicción que pudiera corresponderles por razón de sus domicilios presentes o futuros o por cualquier otra razón.</w:t>
      </w:r>
    </w:p>
    <w:p/>
    <w:p>
      <w:pPr/>
      <w:r>
        <w:rPr/>
        <w:t xml:space="preserve">Leído el contenido del presente contrato por parte de los interesados y sabedoras de su alcance legal, lo firman por duplicado en la Ciudad ${ciudad_origen} a los ${fecha_actual}.</w:t>
      </w:r>
    </w:p>
    <w:p/>
    <w:p/>
    <w:p>
      <w:pPr/>
      <w:r>
        <w:rPr>
          <w:b w:val="1"/>
          <w:bCs w:val="1"/>
        </w:rPr>
        <w:t xml:space="preserve">JAVIER ASCENCIO MÁRQUEZ</w:t>
      </w:r>
    </w:p>
    <w:p>
      <w:pPr/>
      <w:r>
        <w:rPr/>
        <w:t xml:space="preserve">PROVEEDOR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2026-05-25T08:01:56+02:00</dcterms:created>
  <dcterms:modified xsi:type="dcterms:W3CDTF">2026-05-25T08:01:56+02:00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