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0035B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2C5E56FE">
            <w:pPr>
              <w:widowControl w:val="0"/>
              <w:spacing w:after="0" w:line="240" w:lineRule="atLeast"/>
              <w:ind w:right="100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</w:tc>
        <w:tc>
          <w:tcPr>
            <w:tcW w:w="7018" w:type="dxa"/>
            <w:noWrap w:val="0"/>
            <w:vAlign w:val="top"/>
          </w:tcPr>
          <w:tbl>
            <w:tblPr>
              <w:tblStyle w:val="33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64D925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F3E53C8">
                  <w:pPr>
                    <w:widowControl w:val="0"/>
                    <w:spacing w:after="0" w:line="240" w:lineRule="atLeast"/>
                    <w:jc w:val="distribute"/>
                    <w:rPr>
                      <w:rFonts w:hint="eastAsia" w:ascii="Arial" w:hAnsi="Arial" w:cs="Times New Roman"/>
                      <w:b/>
                      <w:snapToGrid w:val="0"/>
                      <w:sz w:val="20"/>
                      <w:szCs w:val="21"/>
                      <w:lang w:eastAsia="zh-CN"/>
                    </w:rPr>
                  </w:pPr>
                  <w:r>
                    <w:rPr>
                      <w:rFonts w:hint="eastAsia" w:ascii="Arial" w:hAnsi="Arial" w:cs="Times New Roman"/>
                      <w:b/>
                      <w:snapToGrid w:val="0"/>
                      <w:sz w:val="20"/>
                      <w:szCs w:val="21"/>
                      <w:lang w:eastAsia="zh-CN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70BC1B89">
                  <w:pPr>
                    <w:widowControl w:val="0"/>
                    <w:spacing w:after="0" w:line="240" w:lineRule="atLeast"/>
                    <w:rPr>
                      <w:rFonts w:ascii="Arial" w:hAnsi="Arial" w:cs="Times New Roman"/>
                      <w:b/>
                      <w:snapToGrid w:val="0"/>
                      <w:sz w:val="20"/>
                      <w:szCs w:val="20"/>
                      <w:lang w:eastAsia="zh-CN"/>
                    </w:rPr>
                  </w:pPr>
                </w:p>
              </w:tc>
            </w:tr>
            <w:tr w14:paraId="74F04A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68F79F92">
                  <w:pPr>
                    <w:widowControl w:val="0"/>
                    <w:spacing w:after="0" w:line="240" w:lineRule="atLeast"/>
                    <w:jc w:val="distribute"/>
                    <w:rPr>
                      <w:rFonts w:ascii="Arial" w:hAnsi="Arial" w:cs="Times New Roman"/>
                      <w:b/>
                      <w:snapToGrid w:val="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Arial" w:hAnsi="Arial" w:cs="Times New Roman"/>
                      <w:b/>
                      <w:snapToGrid w:val="0"/>
                      <w:sz w:val="20"/>
                      <w:szCs w:val="21"/>
                      <w:lang w:eastAsia="zh-CN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30E3D88">
                  <w:pPr>
                    <w:widowControl w:val="0"/>
                    <w:spacing w:after="0" w:line="240" w:lineRule="atLeast"/>
                    <w:rPr>
                      <w:rFonts w:ascii="Arial" w:hAnsi="Arial" w:cs="Times New Roman"/>
                      <w:b/>
                      <w:snapToGrid w:val="0"/>
                      <w:sz w:val="20"/>
                      <w:szCs w:val="20"/>
                      <w:lang w:eastAsia="zh-CN"/>
                    </w:rPr>
                  </w:pPr>
                </w:p>
              </w:tc>
            </w:tr>
            <w:tr w14:paraId="0F465E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70BB94D3">
                  <w:pPr>
                    <w:widowControl w:val="0"/>
                    <w:spacing w:after="0" w:line="240" w:lineRule="atLeast"/>
                    <w:jc w:val="distribute"/>
                    <w:rPr>
                      <w:rFonts w:hint="eastAsia" w:ascii="Arial" w:hAnsi="Arial" w:cs="Times New Roman"/>
                      <w:b/>
                      <w:snapToGrid w:val="0"/>
                      <w:sz w:val="20"/>
                      <w:szCs w:val="21"/>
                      <w:lang w:eastAsia="zh-CN"/>
                    </w:rPr>
                  </w:pPr>
                  <w:r>
                    <w:rPr>
                      <w:rFonts w:hint="eastAsia" w:ascii="Arial" w:hAnsi="Arial" w:cs="Times New Roman"/>
                      <w:b/>
                      <w:snapToGrid w:val="0"/>
                      <w:sz w:val="20"/>
                      <w:szCs w:val="21"/>
                      <w:lang w:eastAsia="zh-CN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1BA0703">
                  <w:pPr>
                    <w:widowControl w:val="0"/>
                    <w:spacing w:after="0" w:line="240" w:lineRule="atLeast"/>
                    <w:rPr>
                      <w:rFonts w:ascii="Arial" w:hAnsi="Arial" w:cs="Times New Roman"/>
                      <w:b/>
                      <w:snapToGrid w:val="0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0D14718D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6DB1B137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7693F8F5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41353383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3356B15A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3A473767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39203FE8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23C4B6C9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3E356ED2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2C01B631">
            <w:pPr>
              <w:widowControl w:val="0"/>
              <w:spacing w:after="0" w:line="240" w:lineRule="atLeast"/>
              <w:ind w:right="100"/>
              <w:jc w:val="right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16FBED6B">
            <w:pPr>
              <w:widowControl w:val="0"/>
              <w:spacing w:after="0" w:line="240" w:lineRule="atLeast"/>
              <w:ind w:right="100"/>
              <w:rPr>
                <w:rFonts w:hint="eastAsia" w:ascii="Arial" w:hAnsi="Arial" w:cs="Arial"/>
                <w:b/>
                <w:snapToGrid w:val="0"/>
                <w:sz w:val="20"/>
                <w:szCs w:val="21"/>
                <w:lang w:eastAsia="zh-CN"/>
              </w:rPr>
            </w:pPr>
          </w:p>
          <w:p w14:paraId="4AD9F16E">
            <w:pPr>
              <w:widowControl w:val="0"/>
              <w:spacing w:line="240" w:lineRule="atLeast"/>
              <w:jc w:val="center"/>
              <w:rPr>
                <w:rFonts w:hint="eastAsia" w:ascii="Arial" w:hAnsi="Arial" w:eastAsia="宋体" w:cs="Times New Roman"/>
                <w:b/>
                <w:bCs/>
                <w:snapToGrid w:val="0"/>
                <w:kern w:val="0"/>
                <w:sz w:val="24"/>
                <w:szCs w:val="36"/>
                <w:lang w:val="en-US" w:eastAsia="zh-CN" w:bidi="ar-SA"/>
              </w:rPr>
            </w:pPr>
            <w:r>
              <w:rPr>
                <w:rFonts w:ascii="Arial" w:hAnsi="Arial" w:eastAsia="宋体" w:cs="Times New Roman"/>
                <w:b/>
                <w:bCs/>
                <w:snapToGrid w:val="0"/>
                <w:kern w:val="0"/>
                <w:sz w:val="24"/>
                <w:szCs w:val="36"/>
                <w:lang w:val="en-US" w:eastAsia="zh-CN" w:bidi="ar-SA"/>
              </w:rPr>
              <w:t>项目编</w:t>
            </w:r>
            <w:r>
              <w:rPr>
                <w:rFonts w:ascii="宋体" w:hAnsi="宋体" w:eastAsia="宋体" w:cs="Times New Roman"/>
                <w:b/>
                <w:bCs/>
                <w:snapToGrid w:val="0"/>
                <w:kern w:val="0"/>
                <w:sz w:val="24"/>
                <w:szCs w:val="36"/>
                <w:lang w:val="en-US" w:eastAsia="zh-CN" w:bidi="ar-SA"/>
              </w:rPr>
              <w:t>号</w:t>
            </w:r>
            <w:r>
              <w:rPr>
                <w:rFonts w:hint="eastAsia" w:ascii="宋体" w:hAnsi="宋体" w:eastAsia="宋体" w:cs="Times New Roman"/>
                <w:b/>
                <w:bCs/>
                <w:snapToGrid w:val="0"/>
                <w:kern w:val="0"/>
                <w:sz w:val="24"/>
                <w:szCs w:val="36"/>
                <w:lang w:val="en-US" w:eastAsia="zh-CN" w:bidi="ar-SA"/>
              </w:rPr>
              <w:t>：</w:t>
            </w:r>
            <w:r>
              <w:rPr>
                <w:rFonts w:ascii="Arial" w:hAnsi="Arial" w:eastAsia="宋体" w:cs="Times New Roman"/>
                <w:b/>
                <w:bCs/>
                <w:snapToGrid w:val="0"/>
                <w:kern w:val="0"/>
                <w:sz w:val="24"/>
                <w:szCs w:val="36"/>
                <w:lang w:val="en-US" w:eastAsia="zh-CN" w:bidi="ar-SA"/>
              </w:rPr>
              <w:t>HD2022</w:t>
            </w:r>
            <w:r>
              <w:rPr>
                <w:rFonts w:hint="eastAsia" w:ascii="Arial" w:hAnsi="Arial" w:eastAsia="宋体" w:cs="Times New Roman"/>
                <w:b/>
                <w:bCs/>
                <w:snapToGrid w:val="0"/>
                <w:kern w:val="0"/>
                <w:sz w:val="24"/>
                <w:szCs w:val="36"/>
                <w:lang w:val="en-US" w:eastAsia="zh-CN" w:bidi="ar-SA"/>
              </w:rPr>
              <w:t>11</w:t>
            </w:r>
            <w:r>
              <w:rPr>
                <w:rFonts w:ascii="Arial" w:hAnsi="Arial" w:eastAsia="宋体" w:cs="Times New Roman"/>
                <w:b/>
                <w:bCs/>
                <w:snapToGrid w:val="0"/>
                <w:kern w:val="0"/>
                <w:sz w:val="24"/>
                <w:szCs w:val="36"/>
                <w:lang w:val="en-US" w:eastAsia="zh-CN" w:bidi="ar-SA"/>
              </w:rPr>
              <w:t>01SR005</w:t>
            </w:r>
          </w:p>
          <w:p w14:paraId="5260E292">
            <w:pPr>
              <w:widowControl w:val="0"/>
              <w:spacing w:line="240" w:lineRule="atLeast"/>
              <w:jc w:val="center"/>
              <w:rPr>
                <w:rFonts w:hint="eastAsia" w:ascii="Arial" w:hAnsi="Arial" w:eastAsia="宋体" w:cs="Times New Roman"/>
                <w:b/>
                <w:bCs/>
                <w:snapToGrid w:val="0"/>
                <w:kern w:val="0"/>
                <w:sz w:val="24"/>
                <w:szCs w:val="36"/>
                <w:lang w:val="en-US" w:eastAsia="zh-CN" w:bidi="ar-SA"/>
              </w:rPr>
            </w:pPr>
          </w:p>
          <w:p w14:paraId="580983EA">
            <w:pPr>
              <w:widowControl w:val="0"/>
              <w:spacing w:line="240" w:lineRule="atLeast"/>
              <w:jc w:val="center"/>
              <w:rPr>
                <w:rFonts w:hint="eastAsia" w:ascii="Arial" w:hAnsi="Arial" w:eastAsia="宋体" w:cs="Times New Roman"/>
                <w:b/>
                <w:bCs/>
                <w:snapToGrid w:val="0"/>
                <w:kern w:val="0"/>
                <w:sz w:val="44"/>
                <w:szCs w:val="36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b/>
                <w:bCs/>
                <w:snapToGrid w:val="0"/>
                <w:kern w:val="0"/>
                <w:sz w:val="36"/>
                <w:szCs w:val="36"/>
                <w:lang w:val="en-US" w:eastAsia="zh-CN" w:bidi="ar-SA"/>
              </w:rPr>
              <w:t>虚拟仿真实训教学管理及资源共享云平台</w:t>
            </w:r>
          </w:p>
        </w:tc>
      </w:tr>
      <w:tr w14:paraId="05E6F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6" w:hRule="atLeast"/>
        </w:trPr>
        <w:tc>
          <w:tcPr>
            <w:tcW w:w="1924" w:type="dxa"/>
            <w:vMerge w:val="restart"/>
            <w:shd w:val="clear" w:color="auto" w:fill="CCCCCC"/>
            <w:noWrap w:val="0"/>
            <w:vAlign w:val="bottom"/>
          </w:tcPr>
          <w:p w14:paraId="03FD7396">
            <w:pPr>
              <w:widowControl w:val="0"/>
              <w:spacing w:after="0" w:line="240" w:lineRule="atLeast"/>
              <w:jc w:val="both"/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</w:pP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fldChar w:fldCharType="begin"/>
            </w: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instrText xml:space="preserve"> DOCPROPERTY "Category"  \* MERGEFORMAT </w:instrText>
            </w: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fldChar w:fldCharType="separate"/>
            </w:r>
            <w:r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  <w:t>分  类</w:t>
            </w: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fldChar w:fldCharType="end"/>
            </w:r>
            <w:r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  <w:t>:</w:t>
            </w:r>
          </w:p>
          <w:p w14:paraId="2856944E">
            <w:pPr>
              <w:widowControl w:val="0"/>
              <w:spacing w:after="0" w:line="240" w:lineRule="atLeast"/>
              <w:jc w:val="both"/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</w:pPr>
            <w:r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  <w:t>&lt;模板&gt;</w:t>
            </w:r>
          </w:p>
          <w:p w14:paraId="40EA637F">
            <w:pPr>
              <w:widowControl w:val="0"/>
              <w:spacing w:after="0" w:line="240" w:lineRule="atLeast"/>
              <w:jc w:val="both"/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</w:pPr>
            <w:r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  <w:t>使用者:</w:t>
            </w:r>
          </w:p>
          <w:p w14:paraId="47AFF10C">
            <w:pPr>
              <w:widowControl w:val="0"/>
              <w:spacing w:after="0" w:line="240" w:lineRule="atLeast"/>
              <w:jc w:val="both"/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</w:pPr>
            <w:r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  <w:t>&lt;项目组&gt;</w:t>
            </w:r>
          </w:p>
          <w:p w14:paraId="28BB6E0A">
            <w:pPr>
              <w:widowControl w:val="0"/>
              <w:spacing w:after="0" w:line="240" w:lineRule="atLeast"/>
              <w:jc w:val="both"/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</w:pP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fldChar w:fldCharType="begin"/>
            </w: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instrText xml:space="preserve"> </w:instrText>
            </w:r>
            <w:r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  <w:instrText xml:space="preserve">DOCPROPERTY "文档编号"  \* MERGEFORMAT</w:instrText>
            </w: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instrText xml:space="preserve"> </w:instrText>
            </w: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fldChar w:fldCharType="separate"/>
            </w:r>
            <w:r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  <w:t>文档编号</w:t>
            </w:r>
            <w:r>
              <w:rPr>
                <w:rFonts w:ascii="Arial" w:hAnsi="宋体" w:cs="Times New Roman"/>
                <w:snapToGrid w:val="0"/>
                <w:sz w:val="20"/>
                <w:szCs w:val="21"/>
                <w:lang w:eastAsia="zh-CN"/>
              </w:rPr>
              <w:fldChar w:fldCharType="end"/>
            </w:r>
            <w:r>
              <w:rPr>
                <w:rFonts w:hint="eastAsia" w:ascii="Arial" w:hAnsi="宋体" w:cs="Times New Roman"/>
                <w:snapToGrid w:val="0"/>
                <w:sz w:val="20"/>
                <w:szCs w:val="21"/>
                <w:lang w:eastAsia="zh-CN"/>
              </w:rPr>
              <w:t>:</w:t>
            </w:r>
          </w:p>
          <w:p w14:paraId="03743AAA">
            <w:pPr>
              <w:widowControl w:val="0"/>
              <w:spacing w:before="60" w:after="60" w:line="240" w:lineRule="atLeast"/>
              <w:jc w:val="both"/>
              <w:rPr>
                <w:rFonts w:hint="eastAsia" w:ascii="宋体" w:hAnsi="宋体" w:eastAsia="宋体" w:cs="Arial"/>
                <w:b w:val="0"/>
                <w:bCs/>
                <w:snapToGrid w:val="0"/>
                <w:kern w:val="0"/>
                <w:sz w:val="20"/>
                <w:lang w:val="en-US" w:eastAsia="zh-CN" w:bidi="ar-SA"/>
              </w:rPr>
            </w:pPr>
            <w:r>
              <w:rPr>
                <w:rFonts w:ascii="Arial" w:hAnsi="Arial" w:eastAsia="宋体" w:cs="Times New Roman"/>
                <w:b w:val="0"/>
                <w:snapToGrid w:val="0"/>
                <w:kern w:val="0"/>
                <w:sz w:val="20"/>
                <w:lang w:val="en-US" w:eastAsia="zh-CN" w:bidi="ar-SA"/>
              </w:rPr>
              <w:t>HD</w:t>
            </w:r>
            <w:r>
              <w:rPr>
                <w:rFonts w:hint="eastAsia" w:ascii="Arial" w:hAnsi="Arial" w:eastAsia="宋体" w:cs="Times New Roman"/>
                <w:b w:val="0"/>
                <w:snapToGrid w:val="0"/>
                <w:kern w:val="0"/>
                <w:sz w:val="20"/>
                <w:lang w:val="en-US" w:eastAsia="zh-CN" w:bidi="ar-SA"/>
              </w:rPr>
              <w:t>202</w:t>
            </w:r>
            <w:r>
              <w:rPr>
                <w:rFonts w:ascii="Arial" w:hAnsi="Arial" w:eastAsia="宋体" w:cs="Times New Roman"/>
                <w:b w:val="0"/>
                <w:snapToGrid w:val="0"/>
                <w:kern w:val="0"/>
                <w:sz w:val="20"/>
                <w:lang w:val="en-US" w:eastAsia="zh-CN" w:bidi="ar-SA"/>
              </w:rPr>
              <w:t>2</w:t>
            </w:r>
            <w:r>
              <w:rPr>
                <w:rFonts w:hint="eastAsia" w:ascii="Arial" w:hAnsi="Arial" w:eastAsia="宋体" w:cs="Times New Roman"/>
                <w:b w:val="0"/>
                <w:snapToGrid w:val="0"/>
                <w:kern w:val="0"/>
                <w:sz w:val="20"/>
                <w:lang w:val="en-US" w:eastAsia="zh-CN" w:bidi="ar-SA"/>
              </w:rPr>
              <w:t>11</w:t>
            </w:r>
            <w:r>
              <w:rPr>
                <w:rFonts w:ascii="Arial" w:hAnsi="Arial" w:eastAsia="宋体" w:cs="Times New Roman"/>
                <w:b w:val="0"/>
                <w:snapToGrid w:val="0"/>
                <w:kern w:val="0"/>
                <w:sz w:val="20"/>
                <w:lang w:val="en-US" w:eastAsia="zh-CN" w:bidi="ar-SA"/>
              </w:rPr>
              <w:t>01</w:t>
            </w:r>
            <w:r>
              <w:rPr>
                <w:rFonts w:hint="eastAsia" w:ascii="Arial" w:hAnsi="Arial" w:eastAsia="宋体" w:cs="Times New Roman"/>
                <w:b w:val="0"/>
                <w:snapToGrid w:val="0"/>
                <w:kern w:val="0"/>
                <w:sz w:val="20"/>
                <w:lang w:val="en-US" w:eastAsia="zh-CN" w:bidi="ar-SA"/>
              </w:rPr>
              <w:t>SR00</w:t>
            </w:r>
            <w:r>
              <w:rPr>
                <w:rFonts w:ascii="Arial" w:hAnsi="Arial" w:eastAsia="宋体" w:cs="Times New Roman"/>
                <w:b w:val="0"/>
                <w:snapToGrid w:val="0"/>
                <w:kern w:val="0"/>
                <w:sz w:val="20"/>
                <w:lang w:val="en-US" w:eastAsia="zh-CN" w:bidi="ar-SA"/>
              </w:rPr>
              <w:t>5</w:t>
            </w:r>
          </w:p>
          <w:p w14:paraId="13A6B4C5">
            <w:pPr>
              <w:widowControl w:val="0"/>
              <w:spacing w:after="0" w:line="240" w:lineRule="atLeast"/>
              <w:ind w:left="684" w:hanging="684" w:hangingChars="342"/>
              <w:rPr>
                <w:rFonts w:hint="eastAsia" w:ascii="Arial" w:hAnsi="Arial" w:cs="Arial"/>
                <w:snapToGrid w:val="0"/>
                <w:sz w:val="20"/>
                <w:szCs w:val="21"/>
                <w:lang w:eastAsia="zh-CN"/>
              </w:rPr>
            </w:pPr>
            <w:r>
              <w:rPr>
                <w:rFonts w:hint="eastAsia" w:ascii="Arial" w:hAnsi="Arial" w:cs="Times New Roman"/>
                <w:snapToGrid w:val="0"/>
                <w:sz w:val="20"/>
                <w:szCs w:val="20"/>
                <w:lang w:eastAsia="zh-CN"/>
              </w:rPr>
              <w:t>四川华迪信息技术有限公司</w:t>
            </w:r>
          </w:p>
          <w:p w14:paraId="5FBA74FF">
            <w:pPr>
              <w:widowControl w:val="0"/>
              <w:spacing w:after="0" w:line="240" w:lineRule="atLeast"/>
              <w:ind w:left="684" w:hanging="684" w:hangingChars="342"/>
              <w:rPr>
                <w:rFonts w:hint="eastAsia" w:ascii="Arial" w:hAnsi="Arial" w:cs="Arial"/>
                <w:snapToGrid w:val="0"/>
                <w:sz w:val="20"/>
                <w:szCs w:val="21"/>
                <w:u w:val="single"/>
                <w:lang w:eastAsia="zh-CN"/>
              </w:rPr>
            </w:pPr>
          </w:p>
          <w:p w14:paraId="31283BF7">
            <w:pPr>
              <w:widowControl w:val="0"/>
              <w:spacing w:after="0" w:line="240" w:lineRule="atLeast"/>
              <w:rPr>
                <w:rFonts w:hint="eastAsia" w:ascii="Arial" w:hAnsi="Arial" w:cs="Arial"/>
                <w:snapToGrid w:val="0"/>
                <w:sz w:val="20"/>
                <w:szCs w:val="21"/>
                <w:lang w:eastAsia="zh-CN"/>
              </w:rPr>
            </w:pPr>
          </w:p>
        </w:tc>
        <w:tc>
          <w:tcPr>
            <w:tcW w:w="7018" w:type="dxa"/>
            <w:noWrap w:val="0"/>
            <w:vAlign w:val="top"/>
          </w:tcPr>
          <w:p w14:paraId="4C6D156A">
            <w:pPr>
              <w:widowControl w:val="0"/>
              <w:spacing w:line="240" w:lineRule="atLeast"/>
              <w:ind w:left="900" w:hanging="900"/>
              <w:rPr>
                <w:rFonts w:hint="eastAsia" w:ascii="Arial" w:hAnsi="Arial" w:eastAsia="宋体" w:cs="Times New Roman"/>
                <w:snapToGrid w:val="0"/>
                <w:sz w:val="10"/>
                <w:szCs w:val="48"/>
                <w:lang w:val="en-US" w:eastAsia="zh-CN" w:bidi="ar-SA"/>
              </w:rPr>
            </w:pPr>
          </w:p>
          <w:p w14:paraId="0F3DF785">
            <w:pPr>
              <w:widowControl w:val="0"/>
              <w:spacing w:line="240" w:lineRule="atLeast"/>
              <w:jc w:val="center"/>
              <w:rPr>
                <w:rFonts w:hint="eastAsia" w:ascii="Arial" w:hAnsi="Arial" w:eastAsia="宋体" w:cs="Times New Roman"/>
                <w:b/>
                <w:bCs/>
                <w:snapToGrid w:val="0"/>
                <w:kern w:val="0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b/>
                <w:bCs/>
                <w:snapToGrid w:val="0"/>
                <w:kern w:val="0"/>
                <w:sz w:val="36"/>
                <w:szCs w:val="36"/>
                <w:lang w:val="en-US" w:eastAsia="zh-CN" w:bidi="ar-SA"/>
              </w:rPr>
              <w:t>软件系统构架设计说明书</w:t>
            </w:r>
            <w:bookmarkStart w:id="3" w:name="_GoBack"/>
            <w:bookmarkEnd w:id="3"/>
          </w:p>
          <w:p w14:paraId="089741C5">
            <w:pPr>
              <w:widowControl w:val="0"/>
              <w:spacing w:line="240" w:lineRule="atLeast"/>
              <w:jc w:val="center"/>
              <w:rPr>
                <w:rFonts w:hint="eastAsia" w:ascii="Arial" w:hAnsi="Arial" w:eastAsia="宋体" w:cs="Times New Roman"/>
                <w:b/>
                <w:bCs w:val="0"/>
                <w:snapToGrid w:val="0"/>
                <w:kern w:val="0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 w:val="0"/>
                <w:snapToGrid w:val="0"/>
                <w:kern w:val="0"/>
                <w:sz w:val="24"/>
                <w:szCs w:val="28"/>
                <w:lang w:val="en-US" w:eastAsia="zh-CN" w:bidi="ar-SA"/>
              </w:rPr>
              <w:t>Version</w:t>
            </w:r>
            <w:r>
              <w:rPr>
                <w:rFonts w:ascii="Arial" w:hAnsi="Arial" w:eastAsia="宋体" w:cs="Arial"/>
                <w:b/>
                <w:bCs w:val="0"/>
                <w:snapToGrid w:val="0"/>
                <w:kern w:val="0"/>
                <w:sz w:val="24"/>
                <w:szCs w:val="28"/>
                <w:lang w:val="en-US" w:eastAsia="zh-CN" w:bidi="ar-SA"/>
              </w:rPr>
              <w:t xml:space="preserve">: </w:t>
            </w:r>
            <w:r>
              <w:rPr>
                <w:rFonts w:hint="eastAsia" w:ascii="Arial" w:hAnsi="Arial" w:eastAsia="宋体" w:cs="Arial"/>
                <w:b w:val="0"/>
                <w:bCs/>
                <w:snapToGrid w:val="0"/>
                <w:kern w:val="0"/>
                <w:sz w:val="28"/>
                <w:szCs w:val="28"/>
                <w:lang w:val="en-US" w:eastAsia="zh-CN" w:bidi="ar-SA"/>
              </w:rPr>
              <w:t>1.0</w:t>
            </w:r>
          </w:p>
          <w:p w14:paraId="0338C770">
            <w:pPr>
              <w:widowControl w:val="0"/>
              <w:spacing w:after="0" w:line="240" w:lineRule="atLeast"/>
              <w:jc w:val="center"/>
              <w:rPr>
                <w:rFonts w:hint="eastAsia" w:ascii="Arial" w:hAnsi="Arial" w:cs="Times New Roman"/>
                <w:snapToGrid w:val="0"/>
                <w:sz w:val="28"/>
                <w:szCs w:val="28"/>
                <w:lang w:eastAsia="zh-CN"/>
              </w:rPr>
            </w:pPr>
          </w:p>
          <w:p w14:paraId="77338299">
            <w:pPr>
              <w:widowControl w:val="0"/>
              <w:spacing w:after="0" w:line="240" w:lineRule="atLeast"/>
              <w:jc w:val="center"/>
              <w:rPr>
                <w:rFonts w:hint="eastAsia" w:ascii="Arial" w:hAnsi="宋体" w:cs="Times New Roman"/>
                <w:snapToGrid w:val="0"/>
                <w:sz w:val="28"/>
                <w:szCs w:val="28"/>
                <w:lang w:eastAsia="zh-CN"/>
              </w:rPr>
            </w:pPr>
          </w:p>
          <w:p w14:paraId="31506566">
            <w:pPr>
              <w:widowControl w:val="0"/>
              <w:spacing w:after="0" w:line="240" w:lineRule="atLeast"/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</w:pPr>
            <w:r>
              <w:rPr>
                <w:rFonts w:hint="eastAsia" w:ascii="楷体_GB2312" w:hAnsi="Arial" w:eastAsia="楷体_GB2312" w:cs="Times New Roman"/>
                <w:b w:val="0"/>
                <w:bCs w:val="0"/>
                <w:snapToGrid w:val="0"/>
                <w:sz w:val="30"/>
                <w:szCs w:val="20"/>
                <w:lang w:eastAsia="zh-CN"/>
              </w:rPr>
              <w:t>项 目 承 担 部 门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>: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  <w:t xml:space="preserve">     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val="en-US" w:eastAsia="zh-CN"/>
              </w:rPr>
              <w:t>第五组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  <w:t xml:space="preserve">           </w:t>
            </w:r>
          </w:p>
          <w:p w14:paraId="0475BA5C">
            <w:pPr>
              <w:widowControl w:val="0"/>
              <w:spacing w:after="0" w:line="240" w:lineRule="atLeast"/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</w:pPr>
          </w:p>
          <w:p w14:paraId="63148477">
            <w:pPr>
              <w:widowControl w:val="0"/>
              <w:spacing w:after="0" w:line="240" w:lineRule="atLeast"/>
              <w:rPr>
                <w:rFonts w:ascii="Arial" w:hAnsi="宋体" w:cs="Times New Roman"/>
                <w:snapToGrid w:val="0"/>
                <w:sz w:val="30"/>
                <w:szCs w:val="30"/>
                <w:lang w:eastAsia="zh-CN"/>
              </w:rPr>
            </w:pP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>撰</w:t>
            </w:r>
            <w:r>
              <w:rPr>
                <w:rFonts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 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>写</w:t>
            </w:r>
            <w:r>
              <w:rPr>
                <w:rFonts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 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>人</w:t>
            </w:r>
            <w:r>
              <w:rPr>
                <w:rFonts w:hint="eastAsia" w:ascii="楷体_GB2312" w:hAnsi="Arial" w:eastAsia="楷体_GB2312" w:cs="Times New Roman"/>
                <w:snapToGrid w:val="0"/>
                <w:sz w:val="28"/>
                <w:szCs w:val="20"/>
                <w:lang w:eastAsia="zh-CN"/>
              </w:rPr>
              <w:t>（签名）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>：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  <w:t xml:space="preserve">    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val="en-US" w:eastAsia="zh-CN"/>
              </w:rPr>
              <w:t>赵丛垒</w:t>
            </w:r>
            <w:r>
              <w:rPr>
                <w:rFonts w:hint="eastAsia" w:ascii="宋体" w:hAnsi="宋体" w:cs="Times New Roman"/>
                <w:snapToGrid w:val="0"/>
                <w:sz w:val="30"/>
                <w:szCs w:val="20"/>
                <w:lang w:eastAsia="zh-CN"/>
              </w:rPr>
              <w:t xml:space="preserve"> 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  <w:t xml:space="preserve">           </w:t>
            </w:r>
          </w:p>
          <w:p w14:paraId="6F54566C">
            <w:pPr>
              <w:widowControl w:val="0"/>
              <w:spacing w:after="0" w:line="240" w:lineRule="atLeast"/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</w:pPr>
          </w:p>
          <w:p w14:paraId="01A6B4D1">
            <w:pPr>
              <w:widowControl w:val="0"/>
              <w:spacing w:after="0" w:line="240" w:lineRule="atLeast"/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</w:pP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>完</w:t>
            </w:r>
            <w:r>
              <w:rPr>
                <w:rFonts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 成   日</w:t>
            </w:r>
            <w:r>
              <w:rPr>
                <w:rFonts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 期：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  <w:t xml:space="preserve">     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val="en-US" w:eastAsia="zh-CN"/>
              </w:rPr>
              <w:t>2026-7-14</w:t>
            </w:r>
            <w:r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  <w:t xml:space="preserve">         </w:t>
            </w:r>
          </w:p>
          <w:p w14:paraId="34F019EC">
            <w:pPr>
              <w:widowControl w:val="0"/>
              <w:spacing w:after="0" w:line="240" w:lineRule="atLeast"/>
              <w:rPr>
                <w:rFonts w:hint="eastAsia" w:ascii="Arial" w:hAnsi="宋体" w:cs="Times New Roman"/>
                <w:snapToGrid w:val="0"/>
                <w:sz w:val="30"/>
                <w:szCs w:val="30"/>
                <w:lang w:eastAsia="zh-CN"/>
              </w:rPr>
            </w:pPr>
          </w:p>
          <w:p w14:paraId="69DDF283">
            <w:pPr>
              <w:widowControl w:val="0"/>
              <w:spacing w:after="0" w:line="240" w:lineRule="atLeast"/>
              <w:rPr>
                <w:rFonts w:hint="eastAsia" w:ascii="楷体_GB2312" w:hAnsi="Arial" w:eastAsia="楷体_GB2312" w:cs="Times New Roman"/>
                <w:snapToGrid w:val="0"/>
                <w:sz w:val="20"/>
                <w:szCs w:val="20"/>
                <w:lang w:eastAsia="zh-CN"/>
              </w:rPr>
            </w:pP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>本文档 使 用部门：</w:t>
            </w:r>
            <w:r>
              <w:rPr>
                <w:rFonts w:hint="eastAsia" w:ascii="楷体_GB2312" w:hAnsi="Arial" w:eastAsia="楷体_GB2312" w:cs="Times New Roman"/>
                <w:snapToGrid w:val="0"/>
                <w:sz w:val="20"/>
                <w:szCs w:val="20"/>
                <w:lang w:eastAsia="zh-CN"/>
              </w:rPr>
              <w:t xml:space="preserve">□主管领导   </w:t>
            </w:r>
            <w:r>
              <w:rPr>
                <w:rFonts w:ascii="楷体_GB2312" w:hAnsi="Arial" w:eastAsia="楷体_GB2312" w:cs="Times New Roman"/>
                <w:snapToGrid w:val="0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hint="eastAsia" w:ascii="楷体_GB2312" w:hAnsi="Arial" w:eastAsia="楷体_GB2312" w:cs="Times New Roman"/>
                <w:snapToGrid w:val="0"/>
                <w:sz w:val="20"/>
                <w:szCs w:val="20"/>
                <w:lang w:eastAsia="zh-CN"/>
              </w:rPr>
              <w:t xml:space="preserve">■项目组 </w:t>
            </w:r>
          </w:p>
          <w:p w14:paraId="15235985">
            <w:pPr>
              <w:widowControl w:val="0"/>
              <w:spacing w:after="0" w:line="240" w:lineRule="atLeast"/>
              <w:ind w:left="690" w:leftChars="300" w:firstLine="2000" w:firstLineChars="1000"/>
              <w:rPr>
                <w:rFonts w:ascii="Arial" w:hAnsi="Arial" w:cs="Times New Roman"/>
                <w:snapToGrid w:val="0"/>
                <w:sz w:val="20"/>
                <w:szCs w:val="20"/>
                <w:u w:val="single"/>
                <w:lang w:eastAsia="zh-CN"/>
              </w:rPr>
            </w:pPr>
            <w:r>
              <w:rPr>
                <w:rFonts w:hint="eastAsia" w:ascii="楷体_GB2312" w:hAnsi="Arial" w:eastAsia="楷体_GB2312" w:cs="Times New Roman"/>
                <w:snapToGrid w:val="0"/>
                <w:sz w:val="20"/>
                <w:szCs w:val="20"/>
                <w:lang w:eastAsia="zh-CN"/>
              </w:rPr>
              <w:t xml:space="preserve">□客户（市场）  ■维护人员  □用户  </w:t>
            </w:r>
          </w:p>
          <w:p w14:paraId="38337CE9">
            <w:pPr>
              <w:widowControl w:val="0"/>
              <w:spacing w:after="0" w:line="240" w:lineRule="atLeast"/>
              <w:ind w:firstLine="600" w:firstLineChars="200"/>
              <w:outlineLvl w:val="0"/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</w:pPr>
          </w:p>
          <w:p w14:paraId="7B9439C9">
            <w:pPr>
              <w:widowControl w:val="0"/>
              <w:spacing w:after="0" w:line="240" w:lineRule="atLeast"/>
              <w:rPr>
                <w:rFonts w:ascii="Arial" w:hAnsi="Arial" w:cs="Times New Roman"/>
                <w:snapToGrid w:val="0"/>
                <w:sz w:val="20"/>
                <w:szCs w:val="20"/>
                <w:lang w:eastAsia="zh-CN"/>
              </w:rPr>
            </w:pPr>
            <w:bookmarkStart w:id="0" w:name="_Toc249778411"/>
            <w:bookmarkStart w:id="1" w:name="_Toc249803863"/>
            <w:bookmarkStart w:id="2" w:name="_Toc249795090"/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评审负责人（签名）：   </w:t>
            </w:r>
            <w:bookmarkEnd w:id="0"/>
            <w:bookmarkEnd w:id="1"/>
            <w:bookmarkEnd w:id="2"/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val="en-US" w:eastAsia="zh-CN"/>
              </w:rPr>
              <w:t>赵丛垒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   </w:t>
            </w:r>
            <w:r>
              <w:rPr>
                <w:rFonts w:hint="eastAsia" w:ascii="Arial" w:hAnsi="Arial" w:cs="Times New Roman"/>
                <w:snapToGrid w:val="0"/>
                <w:sz w:val="20"/>
                <w:szCs w:val="20"/>
                <w:lang w:eastAsia="zh-CN"/>
              </w:rPr>
              <w:t xml:space="preserve">       </w:t>
            </w:r>
          </w:p>
          <w:p w14:paraId="67461394">
            <w:pPr>
              <w:widowControl w:val="0"/>
              <w:tabs>
                <w:tab w:val="left" w:pos="1655"/>
                <w:tab w:val="center" w:pos="3672"/>
              </w:tabs>
              <w:spacing w:after="0" w:line="240" w:lineRule="atLeast"/>
              <w:ind w:firstLine="600" w:firstLineChars="200"/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</w:pPr>
          </w:p>
          <w:p w14:paraId="4CBB3970">
            <w:pPr>
              <w:widowControl w:val="0"/>
              <w:spacing w:after="0" w:line="240" w:lineRule="atLeast"/>
              <w:rPr>
                <w:rFonts w:hint="eastAsia" w:ascii="Arial" w:hAnsi="Arial" w:cs="Arial"/>
                <w:snapToGrid w:val="0"/>
                <w:sz w:val="20"/>
                <w:szCs w:val="20"/>
                <w:lang w:eastAsia="zh-CN"/>
              </w:rPr>
            </w:pP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>评</w:t>
            </w:r>
            <w:r>
              <w:rPr>
                <w:rFonts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eastAsia="zh-CN"/>
              </w:rPr>
              <w:t xml:space="preserve">   审   日  期：    </w:t>
            </w:r>
            <w:r>
              <w:rPr>
                <w:rFonts w:hint="eastAsia" w:ascii="楷体_GB2312" w:hAnsi="Arial" w:eastAsia="楷体_GB2312" w:cs="Times New Roman"/>
                <w:snapToGrid w:val="0"/>
                <w:sz w:val="30"/>
                <w:szCs w:val="20"/>
                <w:lang w:val="en-US" w:eastAsia="zh-CN"/>
              </w:rPr>
              <w:t>2026-7-14</w:t>
            </w:r>
            <w:r>
              <w:rPr>
                <w:rFonts w:hint="eastAsia" w:ascii="Arial" w:hAnsi="宋体" w:cs="Times New Roman"/>
                <w:snapToGrid w:val="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 w:ascii="Arial" w:hAnsi="Arial" w:cs="Times New Roman"/>
                <w:snapToGrid w:val="0"/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14:paraId="1AE78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1" w:hRule="atLeast"/>
        </w:trPr>
        <w:tc>
          <w:tcPr>
            <w:tcW w:w="1924" w:type="dxa"/>
            <w:vMerge w:val="continue"/>
            <w:shd w:val="clear" w:color="auto" w:fill="CCCCCC"/>
            <w:noWrap w:val="0"/>
            <w:vAlign w:val="top"/>
          </w:tcPr>
          <w:p w14:paraId="15D0FBD2">
            <w:pPr>
              <w:widowControl w:val="0"/>
              <w:spacing w:line="240" w:lineRule="atLeast"/>
              <w:jc w:val="right"/>
              <w:rPr>
                <w:rFonts w:hint="eastAsia" w:ascii="Arial" w:hAnsi="Arial" w:eastAsia="宋体" w:cs="Arial"/>
                <w:b/>
                <w:bCs/>
                <w:snapToGrid w:val="0"/>
                <w:kern w:val="0"/>
                <w:sz w:val="36"/>
                <w:szCs w:val="36"/>
                <w:lang w:val="en-US" w:eastAsia="zh-CN" w:bidi="ar-SA"/>
              </w:rPr>
            </w:pPr>
          </w:p>
        </w:tc>
        <w:tc>
          <w:tcPr>
            <w:tcW w:w="7018" w:type="dxa"/>
            <w:noWrap w:val="0"/>
            <w:vAlign w:val="bottom"/>
          </w:tcPr>
          <w:p w14:paraId="361CBF62">
            <w:pPr>
              <w:widowControl w:val="0"/>
              <w:spacing w:line="240" w:lineRule="atLeast"/>
              <w:jc w:val="right"/>
              <w:rPr>
                <w:rFonts w:hint="eastAsia" w:ascii="Arial" w:hAnsi="Arial" w:eastAsia="宋体" w:cs="Arial"/>
                <w:b/>
                <w:bCs/>
                <w:snapToGrid w:val="0"/>
                <w:kern w:val="0"/>
                <w:sz w:val="36"/>
                <w:szCs w:val="36"/>
                <w:lang w:val="en-US" w:eastAsia="zh-CN" w:bidi="ar-SA"/>
              </w:rPr>
            </w:pPr>
            <w:r>
              <w:rPr>
                <w:rFonts w:ascii="Arial" w:hAnsi="Arial" w:eastAsia="宋体" w:cs="Times New Roman"/>
                <w:b/>
                <w:bCs/>
                <w:snapToGrid w:val="0"/>
                <w:kern w:val="0"/>
                <w:sz w:val="36"/>
                <w:szCs w:val="36"/>
                <w:lang w:val="en-US" w:eastAsia="zh-CN" w:bidi="ar-SA"/>
              </w:rPr>
              <w:drawing>
                <wp:inline distT="0" distB="0" distL="114300" distR="114300">
                  <wp:extent cx="1269365" cy="353060"/>
                  <wp:effectExtent l="0" t="0" r="635" b="2540"/>
                  <wp:docPr id="12" name="图片 4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7CBD7">
      <w:pPr>
        <w:widowControl w:val="0"/>
        <w:spacing w:after="0" w:line="240" w:lineRule="atLeast"/>
        <w:ind w:right="100"/>
        <w:sectPr>
          <w:pgSz w:w="11906" w:h="16838"/>
          <w:pgMar w:top="1191" w:right="1134" w:bottom="1191" w:left="1134" w:header="720" w:footer="720" w:gutter="0"/>
          <w:cols w:space="720" w:num="1"/>
          <w:docGrid w:linePitch="360" w:charSpace="0"/>
        </w:sectPr>
      </w:pPr>
    </w:p>
    <w:p w14:paraId="49387465">
      <w:pPr>
        <w:spacing w:before="160" w:after="40"/>
      </w:pPr>
      <w:r>
        <w:rPr>
          <w:rFonts w:ascii="Times New Roman" w:hAnsi="Times New Roman" w:eastAsia="黑体"/>
          <w:b/>
          <w:sz w:val="26"/>
        </w:rPr>
        <w:t>文档信息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CDEC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9298" w:type="dxa"/>
          </w:tcPr>
          <w:p w14:paraId="3F8DB1D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标题: 教学过程管理系统软件系统构架设计说明书</w:t>
            </w:r>
          </w:p>
        </w:tc>
      </w:tr>
      <w:tr w14:paraId="2C2E8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9298" w:type="dxa"/>
          </w:tcPr>
          <w:p w14:paraId="6B208DA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作者: 项目组</w:t>
            </w:r>
          </w:p>
        </w:tc>
      </w:tr>
      <w:tr w14:paraId="19D58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9298" w:type="dxa"/>
          </w:tcPr>
          <w:p w14:paraId="3314753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创建日期: 2026-07-14</w:t>
            </w:r>
          </w:p>
        </w:tc>
      </w:tr>
      <w:tr w14:paraId="499B2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9298" w:type="dxa"/>
          </w:tcPr>
          <w:p w14:paraId="41D8DC1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上次更新日期: 2026-07-14</w:t>
            </w:r>
          </w:p>
        </w:tc>
      </w:tr>
      <w:tr w14:paraId="29418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9298" w:type="dxa"/>
          </w:tcPr>
          <w:p w14:paraId="26C6743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版本: version 1.0</w:t>
            </w:r>
          </w:p>
        </w:tc>
      </w:tr>
      <w:tr w14:paraId="6FB2D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exact"/>
          <w:jc w:val="center"/>
        </w:trPr>
        <w:tc>
          <w:tcPr>
            <w:tcW w:w="9298" w:type="dxa"/>
          </w:tcPr>
          <w:p w14:paraId="312F9EA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部门名称: 教学过程管理系统项目组</w:t>
            </w:r>
          </w:p>
        </w:tc>
      </w:tr>
    </w:tbl>
    <w:p w14:paraId="6D879C3F">
      <w:pPr>
        <w:spacing w:before="360" w:after="80"/>
      </w:pPr>
      <w:r>
        <w:rPr>
          <w:rFonts w:ascii="Times New Roman" w:hAnsi="Times New Roman" w:eastAsia="宋体"/>
          <w:b w:val="0"/>
          <w:sz w:val="24"/>
        </w:rPr>
        <w:t>修订文档历史记录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520F5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1587" w:type="dxa"/>
          </w:tcPr>
          <w:p w14:paraId="3C71CED4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日期</w:t>
            </w:r>
          </w:p>
        </w:tc>
        <w:tc>
          <w:tcPr>
            <w:tcW w:w="1247" w:type="dxa"/>
          </w:tcPr>
          <w:p w14:paraId="279E9DF7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版本</w:t>
            </w:r>
          </w:p>
        </w:tc>
        <w:tc>
          <w:tcPr>
            <w:tcW w:w="4422" w:type="dxa"/>
          </w:tcPr>
          <w:p w14:paraId="1AE7D0DC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  <w:tc>
          <w:tcPr>
            <w:tcW w:w="1984" w:type="dxa"/>
          </w:tcPr>
          <w:p w14:paraId="0445F66D">
            <w:pPr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作者</w:t>
            </w:r>
          </w:p>
        </w:tc>
      </w:tr>
      <w:tr w14:paraId="2D00A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2E25B07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2026-07-1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4</w:t>
            </w:r>
          </w:p>
        </w:tc>
        <w:tc>
          <w:tcPr>
            <w:tcW w:w="2353" w:type="dxa"/>
          </w:tcPr>
          <w:p w14:paraId="1D30CFFF"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  <w:tc>
          <w:tcPr>
            <w:tcW w:w="2353" w:type="dxa"/>
          </w:tcPr>
          <w:p w14:paraId="4B00297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19"/>
                <w:lang w:val="en-US" w:eastAsia="zh-CN"/>
              </w:rPr>
              <w:t>完成整体架构</w:t>
            </w:r>
          </w:p>
        </w:tc>
        <w:tc>
          <w:tcPr>
            <w:tcW w:w="2353" w:type="dxa"/>
          </w:tcPr>
          <w:p w14:paraId="025E04F9">
            <w:r>
              <w:rPr>
                <w:rFonts w:ascii="Times New Roman" w:hAnsi="Times New Roman" w:eastAsia="宋体"/>
                <w:b w:val="0"/>
                <w:sz w:val="19"/>
              </w:rPr>
              <w:t>项目组</w:t>
            </w:r>
          </w:p>
        </w:tc>
      </w:tr>
      <w:tr w14:paraId="6825C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495D47B8"/>
        </w:tc>
        <w:tc>
          <w:tcPr>
            <w:tcW w:w="2353" w:type="dxa"/>
          </w:tcPr>
          <w:p w14:paraId="7D010EBA"/>
        </w:tc>
        <w:tc>
          <w:tcPr>
            <w:tcW w:w="2353" w:type="dxa"/>
          </w:tcPr>
          <w:p w14:paraId="7467A2D3"/>
        </w:tc>
        <w:tc>
          <w:tcPr>
            <w:tcW w:w="2353" w:type="dxa"/>
          </w:tcPr>
          <w:p w14:paraId="69983E40"/>
        </w:tc>
      </w:tr>
      <w:tr w14:paraId="0C39C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09A9653F"/>
        </w:tc>
        <w:tc>
          <w:tcPr>
            <w:tcW w:w="2353" w:type="dxa"/>
          </w:tcPr>
          <w:p w14:paraId="31B88C17"/>
        </w:tc>
        <w:tc>
          <w:tcPr>
            <w:tcW w:w="2353" w:type="dxa"/>
          </w:tcPr>
          <w:p w14:paraId="0CE333D9"/>
        </w:tc>
        <w:tc>
          <w:tcPr>
            <w:tcW w:w="2353" w:type="dxa"/>
          </w:tcPr>
          <w:p w14:paraId="7E36922F"/>
        </w:tc>
      </w:tr>
      <w:tr w14:paraId="4C3AB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49C83213"/>
        </w:tc>
        <w:tc>
          <w:tcPr>
            <w:tcW w:w="2353" w:type="dxa"/>
          </w:tcPr>
          <w:p w14:paraId="3C839BFB"/>
        </w:tc>
        <w:tc>
          <w:tcPr>
            <w:tcW w:w="2353" w:type="dxa"/>
          </w:tcPr>
          <w:p w14:paraId="090783DA"/>
        </w:tc>
        <w:tc>
          <w:tcPr>
            <w:tcW w:w="2353" w:type="dxa"/>
          </w:tcPr>
          <w:p w14:paraId="3419470C"/>
        </w:tc>
      </w:tr>
      <w:tr w14:paraId="2290C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41AD54E3"/>
        </w:tc>
        <w:tc>
          <w:tcPr>
            <w:tcW w:w="2353" w:type="dxa"/>
          </w:tcPr>
          <w:p w14:paraId="44316BB0"/>
        </w:tc>
        <w:tc>
          <w:tcPr>
            <w:tcW w:w="2353" w:type="dxa"/>
          </w:tcPr>
          <w:p w14:paraId="3B57E6BE"/>
        </w:tc>
        <w:tc>
          <w:tcPr>
            <w:tcW w:w="2353" w:type="dxa"/>
          </w:tcPr>
          <w:p w14:paraId="23A5C868"/>
        </w:tc>
      </w:tr>
      <w:tr w14:paraId="21C2D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472200D6"/>
        </w:tc>
        <w:tc>
          <w:tcPr>
            <w:tcW w:w="2353" w:type="dxa"/>
          </w:tcPr>
          <w:p w14:paraId="67F0B4E5"/>
        </w:tc>
        <w:tc>
          <w:tcPr>
            <w:tcW w:w="2353" w:type="dxa"/>
          </w:tcPr>
          <w:p w14:paraId="174E5776"/>
        </w:tc>
        <w:tc>
          <w:tcPr>
            <w:tcW w:w="2353" w:type="dxa"/>
          </w:tcPr>
          <w:p w14:paraId="6D0EE1A9"/>
        </w:tc>
      </w:tr>
      <w:tr w14:paraId="57185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0C841C52"/>
        </w:tc>
        <w:tc>
          <w:tcPr>
            <w:tcW w:w="2353" w:type="dxa"/>
          </w:tcPr>
          <w:p w14:paraId="50C046C5"/>
        </w:tc>
        <w:tc>
          <w:tcPr>
            <w:tcW w:w="2353" w:type="dxa"/>
          </w:tcPr>
          <w:p w14:paraId="025F1F43"/>
        </w:tc>
        <w:tc>
          <w:tcPr>
            <w:tcW w:w="2353" w:type="dxa"/>
          </w:tcPr>
          <w:p w14:paraId="4FB3765B"/>
        </w:tc>
      </w:tr>
      <w:tr w14:paraId="63CB9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603B9A2C"/>
        </w:tc>
        <w:tc>
          <w:tcPr>
            <w:tcW w:w="2353" w:type="dxa"/>
          </w:tcPr>
          <w:p w14:paraId="3FB27E9F"/>
        </w:tc>
        <w:tc>
          <w:tcPr>
            <w:tcW w:w="2353" w:type="dxa"/>
          </w:tcPr>
          <w:p w14:paraId="17E05151"/>
        </w:tc>
        <w:tc>
          <w:tcPr>
            <w:tcW w:w="2353" w:type="dxa"/>
          </w:tcPr>
          <w:p w14:paraId="41F9F61B"/>
        </w:tc>
      </w:tr>
      <w:tr w14:paraId="4AC0C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0DD21378"/>
        </w:tc>
        <w:tc>
          <w:tcPr>
            <w:tcW w:w="2353" w:type="dxa"/>
          </w:tcPr>
          <w:p w14:paraId="0A80A4B4"/>
        </w:tc>
        <w:tc>
          <w:tcPr>
            <w:tcW w:w="2353" w:type="dxa"/>
          </w:tcPr>
          <w:p w14:paraId="52207FA9"/>
        </w:tc>
        <w:tc>
          <w:tcPr>
            <w:tcW w:w="2353" w:type="dxa"/>
          </w:tcPr>
          <w:p w14:paraId="362580FE"/>
        </w:tc>
      </w:tr>
      <w:tr w14:paraId="2ADBA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71803D42"/>
        </w:tc>
        <w:tc>
          <w:tcPr>
            <w:tcW w:w="2353" w:type="dxa"/>
          </w:tcPr>
          <w:p w14:paraId="11D8D447"/>
        </w:tc>
        <w:tc>
          <w:tcPr>
            <w:tcW w:w="2353" w:type="dxa"/>
          </w:tcPr>
          <w:p w14:paraId="4702DC50"/>
        </w:tc>
        <w:tc>
          <w:tcPr>
            <w:tcW w:w="2353" w:type="dxa"/>
          </w:tcPr>
          <w:p w14:paraId="00B624A0"/>
        </w:tc>
      </w:tr>
      <w:tr w14:paraId="1FF69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57375BA1"/>
        </w:tc>
        <w:tc>
          <w:tcPr>
            <w:tcW w:w="2353" w:type="dxa"/>
          </w:tcPr>
          <w:p w14:paraId="3F35A778"/>
        </w:tc>
        <w:tc>
          <w:tcPr>
            <w:tcW w:w="2353" w:type="dxa"/>
          </w:tcPr>
          <w:p w14:paraId="73600EE0"/>
        </w:tc>
        <w:tc>
          <w:tcPr>
            <w:tcW w:w="2353" w:type="dxa"/>
          </w:tcPr>
          <w:p w14:paraId="1F6872D2"/>
        </w:tc>
      </w:tr>
      <w:tr w14:paraId="5F3F0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666C9516"/>
        </w:tc>
        <w:tc>
          <w:tcPr>
            <w:tcW w:w="2353" w:type="dxa"/>
          </w:tcPr>
          <w:p w14:paraId="382F98E3"/>
        </w:tc>
        <w:tc>
          <w:tcPr>
            <w:tcW w:w="2353" w:type="dxa"/>
          </w:tcPr>
          <w:p w14:paraId="321AB4BE"/>
        </w:tc>
        <w:tc>
          <w:tcPr>
            <w:tcW w:w="2353" w:type="dxa"/>
          </w:tcPr>
          <w:p w14:paraId="7252DD57"/>
        </w:tc>
      </w:tr>
      <w:tr w14:paraId="3BFA8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1A3C93CA"/>
        </w:tc>
        <w:tc>
          <w:tcPr>
            <w:tcW w:w="2353" w:type="dxa"/>
          </w:tcPr>
          <w:p w14:paraId="33B38F84"/>
        </w:tc>
        <w:tc>
          <w:tcPr>
            <w:tcW w:w="2353" w:type="dxa"/>
          </w:tcPr>
          <w:p w14:paraId="2829C991"/>
        </w:tc>
        <w:tc>
          <w:tcPr>
            <w:tcW w:w="2353" w:type="dxa"/>
          </w:tcPr>
          <w:p w14:paraId="45823966"/>
        </w:tc>
      </w:tr>
      <w:tr w14:paraId="1FED2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5BBE6D6E"/>
        </w:tc>
        <w:tc>
          <w:tcPr>
            <w:tcW w:w="2353" w:type="dxa"/>
          </w:tcPr>
          <w:p w14:paraId="04720E47"/>
        </w:tc>
        <w:tc>
          <w:tcPr>
            <w:tcW w:w="2353" w:type="dxa"/>
          </w:tcPr>
          <w:p w14:paraId="3AEBD23D"/>
        </w:tc>
        <w:tc>
          <w:tcPr>
            <w:tcW w:w="2353" w:type="dxa"/>
          </w:tcPr>
          <w:p w14:paraId="56B38B02"/>
        </w:tc>
      </w:tr>
      <w:tr w14:paraId="0A7FA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76CB65A3"/>
        </w:tc>
        <w:tc>
          <w:tcPr>
            <w:tcW w:w="2353" w:type="dxa"/>
          </w:tcPr>
          <w:p w14:paraId="54E383A1"/>
        </w:tc>
        <w:tc>
          <w:tcPr>
            <w:tcW w:w="2353" w:type="dxa"/>
          </w:tcPr>
          <w:p w14:paraId="268B771E"/>
        </w:tc>
        <w:tc>
          <w:tcPr>
            <w:tcW w:w="2353" w:type="dxa"/>
          </w:tcPr>
          <w:p w14:paraId="01CBEE93"/>
        </w:tc>
      </w:tr>
      <w:tr w14:paraId="0F3B2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5CA1A906"/>
        </w:tc>
        <w:tc>
          <w:tcPr>
            <w:tcW w:w="2353" w:type="dxa"/>
          </w:tcPr>
          <w:p w14:paraId="68583D3F"/>
        </w:tc>
        <w:tc>
          <w:tcPr>
            <w:tcW w:w="2353" w:type="dxa"/>
          </w:tcPr>
          <w:p w14:paraId="532D1A94"/>
        </w:tc>
        <w:tc>
          <w:tcPr>
            <w:tcW w:w="2353" w:type="dxa"/>
          </w:tcPr>
          <w:p w14:paraId="3FBD02B2"/>
        </w:tc>
      </w:tr>
      <w:tr w14:paraId="35306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2353" w:type="dxa"/>
          </w:tcPr>
          <w:p w14:paraId="76D5E2A8"/>
        </w:tc>
        <w:tc>
          <w:tcPr>
            <w:tcW w:w="2353" w:type="dxa"/>
          </w:tcPr>
          <w:p w14:paraId="0AC394AB"/>
        </w:tc>
        <w:tc>
          <w:tcPr>
            <w:tcW w:w="2353" w:type="dxa"/>
          </w:tcPr>
          <w:p w14:paraId="2D3D83F2"/>
        </w:tc>
        <w:tc>
          <w:tcPr>
            <w:tcW w:w="2353" w:type="dxa"/>
          </w:tcPr>
          <w:p w14:paraId="64443ECB"/>
        </w:tc>
      </w:tr>
    </w:tbl>
    <w:p w14:paraId="36E09247">
      <w:pPr>
        <w:sectPr>
          <w:headerReference r:id="rId5" w:type="default"/>
          <w:footerReference r:id="rId6" w:type="default"/>
          <w:pgSz w:w="11906" w:h="16838"/>
          <w:pgMar w:top="1247" w:right="1247" w:bottom="1247" w:left="1247" w:header="720" w:footer="720" w:gutter="0"/>
          <w:cols w:space="720" w:num="1"/>
          <w:docGrid w:linePitch="360" w:charSpace="0"/>
        </w:sectPr>
      </w:pPr>
    </w:p>
    <w:p w14:paraId="13156581">
      <w:pPr>
        <w:spacing w:after="28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0D37F6A7">
      <w:pPr>
        <w:tabs>
          <w:tab w:val="right" w:leader="dot" w:pos="8901"/>
        </w:tabs>
        <w:spacing w:after="40"/>
        <w:ind w:left="0"/>
      </w:pPr>
      <w:r>
        <w:rPr>
          <w:rFonts w:ascii="Times New Roman" w:hAnsi="Times New Roman" w:eastAsia="宋体"/>
          <w:b w:val="0"/>
          <w:sz w:val="21"/>
        </w:rPr>
        <w:t>1. 简介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</w:t>
      </w:r>
    </w:p>
    <w:p w14:paraId="2244FAA7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1.1 目的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</w:t>
      </w:r>
    </w:p>
    <w:p w14:paraId="1C67CC7B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1.2 范围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</w:t>
      </w:r>
    </w:p>
    <w:p w14:paraId="32F50FB7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1.3 定义、首字母缩写词和缩略语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</w:t>
      </w:r>
    </w:p>
    <w:p w14:paraId="137D11DA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1.4 参考资料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</w:t>
      </w:r>
    </w:p>
    <w:p w14:paraId="09602421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1.5 概述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2</w:t>
      </w:r>
    </w:p>
    <w:p w14:paraId="2C1A3606">
      <w:pPr>
        <w:tabs>
          <w:tab w:val="right" w:leader="dot" w:pos="8901"/>
        </w:tabs>
        <w:spacing w:after="40"/>
        <w:ind w:left="0"/>
      </w:pPr>
      <w:r>
        <w:rPr>
          <w:rFonts w:ascii="Times New Roman" w:hAnsi="Times New Roman" w:eastAsia="宋体"/>
          <w:b w:val="0"/>
          <w:sz w:val="21"/>
        </w:rPr>
        <w:t>2. 构架表示方式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3</w:t>
      </w:r>
    </w:p>
    <w:p w14:paraId="0B15E711">
      <w:pPr>
        <w:tabs>
          <w:tab w:val="right" w:leader="dot" w:pos="8901"/>
        </w:tabs>
        <w:spacing w:after="40"/>
        <w:ind w:left="0"/>
      </w:pPr>
      <w:r>
        <w:rPr>
          <w:rFonts w:ascii="Times New Roman" w:hAnsi="Times New Roman" w:eastAsia="宋体"/>
          <w:b w:val="0"/>
          <w:sz w:val="21"/>
        </w:rPr>
        <w:t>3. 构架目标和约束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3</w:t>
      </w:r>
    </w:p>
    <w:p w14:paraId="78A3AF82">
      <w:pPr>
        <w:tabs>
          <w:tab w:val="right" w:leader="dot" w:pos="8901"/>
        </w:tabs>
        <w:spacing w:after="40"/>
        <w:ind w:left="0"/>
      </w:pPr>
      <w:r>
        <w:rPr>
          <w:rFonts w:ascii="Times New Roman" w:hAnsi="Times New Roman" w:eastAsia="宋体"/>
          <w:b w:val="0"/>
          <w:sz w:val="21"/>
        </w:rPr>
        <w:t>4. 关键用例视图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3</w:t>
      </w:r>
    </w:p>
    <w:p w14:paraId="0D7E71F0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4.1 用户认证与个人资料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5</w:t>
      </w:r>
    </w:p>
    <w:p w14:paraId="1028CFB1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4.2 课程与课表管理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5</w:t>
      </w:r>
    </w:p>
    <w:p w14:paraId="14ECAC9A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4.3 教室预约管理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5</w:t>
      </w:r>
    </w:p>
    <w:p w14:paraId="544E256B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4.4 学生请假管理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6</w:t>
      </w:r>
    </w:p>
    <w:p w14:paraId="4979DA0A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4.5 教师调课管理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6</w:t>
      </w:r>
    </w:p>
    <w:p w14:paraId="1003BF85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4.6 通知与后台管理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6</w:t>
      </w:r>
    </w:p>
    <w:p w14:paraId="048B6134">
      <w:pPr>
        <w:tabs>
          <w:tab w:val="right" w:leader="dot" w:pos="8901"/>
        </w:tabs>
        <w:spacing w:after="40"/>
        <w:ind w:left="0"/>
      </w:pPr>
      <w:r>
        <w:rPr>
          <w:rFonts w:ascii="Times New Roman" w:hAnsi="Times New Roman" w:eastAsia="宋体"/>
          <w:b w:val="0"/>
          <w:sz w:val="21"/>
        </w:rPr>
        <w:t>5. 层次结构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7</w:t>
      </w:r>
    </w:p>
    <w:p w14:paraId="7866A3A8">
      <w:pPr>
        <w:tabs>
          <w:tab w:val="right" w:leader="dot" w:pos="8901"/>
        </w:tabs>
        <w:spacing w:after="40"/>
        <w:ind w:left="0"/>
      </w:pPr>
      <w:r>
        <w:rPr>
          <w:rFonts w:ascii="Times New Roman" w:hAnsi="Times New Roman" w:eastAsia="宋体"/>
          <w:b w:val="0"/>
          <w:sz w:val="21"/>
        </w:rPr>
        <w:t>6. 逻辑视图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7</w:t>
      </w:r>
    </w:p>
    <w:p w14:paraId="147D3A61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6.1 概述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7</w:t>
      </w:r>
    </w:p>
    <w:p w14:paraId="7E5662C7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6.2 用户服务层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8</w:t>
      </w:r>
    </w:p>
    <w:p w14:paraId="6703EB91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6.2.1 Package authPage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8</w:t>
      </w:r>
    </w:p>
    <w:p w14:paraId="396F501E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6.2.2 Package homePage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8</w:t>
      </w:r>
    </w:p>
    <w:p w14:paraId="71E90527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6.2.3 Package coursePage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8</w:t>
      </w:r>
    </w:p>
    <w:p w14:paraId="5C936CFF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6.2.4 Package workflowPage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9</w:t>
      </w:r>
    </w:p>
    <w:p w14:paraId="74B909CE">
      <w:r>
        <w:br w:type="page"/>
      </w:r>
    </w:p>
    <w:p w14:paraId="46D61508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6.2.5 Package notificationPage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9</w:t>
      </w:r>
    </w:p>
    <w:p w14:paraId="37EEFD36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6.2.6 Package adminProfilePage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9</w:t>
      </w:r>
    </w:p>
    <w:p w14:paraId="0191BBAF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6.3 业务逻辑层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10</w:t>
      </w:r>
    </w:p>
    <w:p w14:paraId="49FD347D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6.3.1 Package authService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10</w:t>
      </w:r>
    </w:p>
    <w:p w14:paraId="3EB3C48A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6.3.2 Package profileCommonService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10</w:t>
      </w:r>
    </w:p>
    <w:p w14:paraId="07C51C57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6.3.3 Package courseService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11</w:t>
      </w:r>
    </w:p>
    <w:p w14:paraId="6D171907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6.3.4 Package workflowService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11</w:t>
      </w:r>
    </w:p>
    <w:p w14:paraId="3A466430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6.3.5 Package notificationService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12</w:t>
      </w:r>
    </w:p>
    <w:p w14:paraId="77C29E94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6.3.6 Package adminService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12</w:t>
      </w:r>
    </w:p>
    <w:p w14:paraId="668140EB">
      <w:pPr>
        <w:tabs>
          <w:tab w:val="right" w:leader="dot" w:pos="8901"/>
        </w:tabs>
        <w:spacing w:after="40"/>
        <w:ind w:left="312"/>
      </w:pPr>
      <w:r>
        <w:rPr>
          <w:rFonts w:ascii="Times New Roman" w:hAnsi="Times New Roman" w:eastAsia="宋体"/>
          <w:b w:val="0"/>
          <w:sz w:val="21"/>
        </w:rPr>
        <w:t>6.4 数据服务层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13</w:t>
      </w:r>
    </w:p>
    <w:p w14:paraId="6DB287A9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6.4.1 Package databaseAccess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13</w:t>
      </w:r>
    </w:p>
    <w:p w14:paraId="6D102C42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6.4.2 Package migration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14</w:t>
      </w:r>
    </w:p>
    <w:p w14:paraId="0DE41434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6.4.3 Package testData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14</w:t>
      </w:r>
    </w:p>
    <w:p w14:paraId="27598C7C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6.4.4 Package identityData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15</w:t>
      </w:r>
    </w:p>
    <w:p w14:paraId="70682078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6.4.5 Package teachingWorkflowData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15</w:t>
      </w:r>
    </w:p>
    <w:p w14:paraId="77271B47">
      <w:pPr>
        <w:tabs>
          <w:tab w:val="right" w:leader="dot" w:pos="8901"/>
        </w:tabs>
        <w:spacing w:after="40"/>
        <w:ind w:left="624"/>
      </w:pPr>
      <w:r>
        <w:rPr>
          <w:rFonts w:ascii="Times New Roman" w:hAnsi="Times New Roman" w:eastAsia="宋体"/>
          <w:b w:val="0"/>
          <w:sz w:val="21"/>
        </w:rPr>
        <w:t>6.4.6 Package auditNotificationData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15</w:t>
      </w:r>
    </w:p>
    <w:p w14:paraId="70C8C098">
      <w:pPr>
        <w:tabs>
          <w:tab w:val="right" w:leader="dot" w:pos="8901"/>
        </w:tabs>
        <w:spacing w:after="40"/>
        <w:ind w:left="0"/>
      </w:pPr>
      <w:r>
        <w:rPr>
          <w:rFonts w:ascii="Times New Roman" w:hAnsi="Times New Roman" w:eastAsia="宋体"/>
          <w:b w:val="0"/>
          <w:sz w:val="21"/>
        </w:rPr>
        <w:t>7. 部署视图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16</w:t>
      </w:r>
    </w:p>
    <w:p w14:paraId="0782C7E9">
      <w:pPr>
        <w:tabs>
          <w:tab w:val="right" w:leader="dot" w:pos="8901"/>
        </w:tabs>
        <w:spacing w:after="40"/>
        <w:ind w:left="0"/>
      </w:pPr>
      <w:r>
        <w:rPr>
          <w:rFonts w:ascii="Times New Roman" w:hAnsi="Times New Roman" w:eastAsia="宋体"/>
          <w:b w:val="0"/>
          <w:sz w:val="21"/>
        </w:rPr>
        <w:t>8. 接口设计</w:t>
      </w:r>
      <w:r>
        <w:rPr>
          <w:rFonts w:ascii="Times New Roman" w:hAnsi="Times New Roman" w:eastAsia="宋体"/>
          <w:b w:val="0"/>
          <w:sz w:val="21"/>
        </w:rPr>
        <w:tab/>
      </w:r>
      <w:r>
        <w:rPr>
          <w:rFonts w:ascii="Times New Roman" w:hAnsi="Times New Roman" w:eastAsia="宋体"/>
          <w:b w:val="0"/>
          <w:sz w:val="21"/>
        </w:rPr>
        <w:t>17</w:t>
      </w:r>
    </w:p>
    <w:p w14:paraId="140E0FAD">
      <w:pPr>
        <w:sectPr>
          <w:headerReference r:id="rId7" w:type="default"/>
          <w:footerReference r:id="rId8" w:type="default"/>
          <w:pgSz w:w="11906" w:h="16838"/>
          <w:pgMar w:top="1134" w:right="1474" w:bottom="1134" w:left="1474" w:header="720" w:footer="720" w:gutter="0"/>
          <w:cols w:space="720" w:num="1"/>
          <w:docGrid w:linePitch="360" w:charSpace="0"/>
        </w:sectPr>
      </w:pPr>
    </w:p>
    <w:p w14:paraId="7B6E0966">
      <w:pPr>
        <w:pStyle w:val="3"/>
        <w:keepNext/>
        <w:spacing w:before="16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1. 简介</w:t>
      </w:r>
    </w:p>
    <w:p w14:paraId="6370DE86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本文档用于对教学过程管理系统的软件构架进行完整描述，说明 HarmonyOS 客户端、ArkTS API 封装层、Flask REST 服务端与 SQLite 数据库之间的组织关系，并记录当前初版项目已经采用的主要构架决策。</w:t>
      </w:r>
    </w:p>
    <w:p w14:paraId="262A2038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1.1 目的</w:t>
      </w:r>
    </w:p>
    <w:p w14:paraId="5BE7A145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本文档从构架角度对系统进行综合概述，通过关键用例视图、层次结构、逻辑视图、部署视图和接口设计描述系统的静态组织及主要动态协作过程，为前端开发、服务端开发、数据库维护、接口联调、测试和后续迭代提供统一依据。</w:t>
      </w:r>
    </w:p>
    <w:p w14:paraId="28AE2442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1.2 范围</w:t>
      </w:r>
    </w:p>
    <w:p w14:paraId="4705F3F4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本文档适用于教学过程管理系统的分析、设计、编码、联调、测试和维护阶段。构架范围覆盖仓库根目录中的 HarmonyOS 工程 entry/ 与 Flask 服务端 teaching_flask_server/，不将仓库中用于早期尝试和界面参考的 1/ 目录作为当前正式运行构架。</w:t>
      </w:r>
    </w:p>
    <w:p w14:paraId="127E10CF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1.3 定义、首字母缩写词和缩略语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18B0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7E7E7"/>
          </w:tcPr>
          <w:p w14:paraId="25EAEB18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构件/包</w:t>
            </w:r>
          </w:p>
        </w:tc>
        <w:tc>
          <w:tcPr>
            <w:tcW w:w="2948" w:type="dxa"/>
            <w:shd w:val="clear" w:color="auto" w:fill="E7E7E7"/>
          </w:tcPr>
          <w:p w14:paraId="7F126F8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主要文件或类</w:t>
            </w:r>
          </w:p>
        </w:tc>
        <w:tc>
          <w:tcPr>
            <w:tcW w:w="3515" w:type="dxa"/>
            <w:shd w:val="clear" w:color="auto" w:fill="E7E7E7"/>
          </w:tcPr>
          <w:p w14:paraId="029000C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职责说明</w:t>
            </w:r>
          </w:p>
        </w:tc>
      </w:tr>
      <w:tr w14:paraId="5CE79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76B1C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ArkTS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9F92C8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HarmonyOS应用开发语言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AA131F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用于编写页面、组件、数据模型和客户端接口封装。</w:t>
            </w:r>
          </w:p>
        </w:tc>
      </w:tr>
      <w:tr w14:paraId="2422D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D479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ArkUI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5759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HarmonyOS声明式UI框架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3BA4F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用于构建登录、首页、课表、课程、办理、通知、管理和个人中心界面。</w:t>
            </w:r>
          </w:p>
        </w:tc>
      </w:tr>
      <w:tr w14:paraId="75322D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19CA7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REST 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A33A3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Representational State Transfer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36A3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客户端和Flask服务端之间以HTTP和JSON完成数据交互。</w:t>
            </w:r>
          </w:p>
        </w:tc>
      </w:tr>
      <w:tr w14:paraId="6C7DA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49966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Token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10EC3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Bearer访问令牌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3387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登录成功后由服务端生成，客户端持久化后自动附加到鉴权请求。</w:t>
            </w:r>
          </w:p>
        </w:tc>
      </w:tr>
      <w:tr w14:paraId="40BBE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02B5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Blueprint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33A339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Flask蓝图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CD9DF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按照业务域组织认证、课程、预约、请假、调课、通知和管理接口。</w:t>
            </w:r>
          </w:p>
        </w:tc>
      </w:tr>
      <w:tr w14:paraId="1232A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BE1D2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SQLite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D688E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轻量级关系数据库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08D73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保存用户、课程、排课、选课、申请、审批、通知及基础数据。</w:t>
            </w:r>
          </w:p>
        </w:tc>
      </w:tr>
    </w:tbl>
    <w:p w14:paraId="00C5285B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1.4 参考资料</w:t>
      </w:r>
    </w:p>
    <w:p w14:paraId="7A5CB084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《教学过程管理系统需求规格说明书》</w:t>
      </w:r>
    </w:p>
    <w:p w14:paraId="7B6DBE9F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《教学过程管理系统数据库设计说明书》</w:t>
      </w:r>
    </w:p>
    <w:p w14:paraId="033ED1ED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《教学过程管理系统鸿蒙端 API 使用说明》</w:t>
      </w:r>
    </w:p>
    <w:p w14:paraId="7E1AE76B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GitHub 仓库 harmonyOS_teaching_manage，main 分支当前基线提交 645bbab</w:t>
      </w:r>
    </w:p>
    <w:p w14:paraId="089A2AA8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teaching_flask_server/API_TEST_REPORT.md 全接口测试报告</w:t>
      </w:r>
    </w:p>
    <w:p w14:paraId="7551248C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1.5 概述</w:t>
      </w:r>
    </w:p>
    <w:p w14:paraId="4CA4EE29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系统面向学生、教师、教务人员和系统管理员四类用户。客户端采用单入口、按角色切换功能区的交互方式；服务端采用 Flask 应用工厂和 Blueprint 分模块方式；数据层使用 SQLite、外键、索引、触发器和显式事务保证一致性。</w:t>
      </w:r>
    </w:p>
    <w:p w14:paraId="37A12E1B">
      <w:r>
        <w:br w:type="page"/>
      </w:r>
    </w:p>
    <w:p w14:paraId="35D17353">
      <w:pPr>
        <w:pStyle w:val="3"/>
        <w:keepNext/>
        <w:spacing w:before="16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2. 构架表示方式</w:t>
      </w:r>
    </w:p>
    <w:p w14:paraId="196678C8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本文档使用分层构架图、用例关系图、包结构图、部署图和接口调用流程图表示软件构架。图中的页面和包名对应当前仓库目录；服务端模块名对应 Flask Blueprint 与公共支持文件；数据实体名称对应数据库中的业务表。</w:t>
      </w:r>
    </w:p>
    <w:p w14:paraId="7539E1CD">
      <w:pPr>
        <w:pStyle w:val="3"/>
        <w:keepNext/>
        <w:spacing w:before="16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3. 构架目标和约束</w:t>
      </w:r>
    </w:p>
    <w:p w14:paraId="40CA1B8F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系统构架目标是使四类角色在统一应用中完成教学过程相关操作，并保证客户端调用简单、服务端权限边界清晰、业务状态可追踪、数据库写入一致、模块可复用且便于团队分工。</w:t>
      </w:r>
    </w:p>
    <w:p w14:paraId="50DBB893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客户端必须运行于 HarmonyOS Stage 模型，当前工程 targetSdkVersion 与 compatibleSdkVersion 均为 6.1.1(24)。</w:t>
      </w:r>
    </w:p>
    <w:p w14:paraId="1D63712A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前端统一通过 Api.ets 暴露的单例调用接口，不允许页面直接创建 HTTP 请求或自行拼接 Token。</w:t>
      </w:r>
    </w:p>
    <w:p w14:paraId="39E61C39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除登录外的受保护接口必须携带 Authorization: Bearer &lt;token&gt;，服务端继续执行角色校验。</w:t>
      </w:r>
    </w:p>
    <w:p w14:paraId="376311A5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所有账号由管理员预先创建，不提供公开注册；学生、教师和教务人员不得自行改变核心身份信息。</w:t>
      </w:r>
    </w:p>
    <w:p w14:paraId="51D5AD41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Flask 服务端默认监听 0.0.0.0:8080，模拟器或真机需通过运行服务端电脑的局域网地址访问。</w:t>
      </w:r>
    </w:p>
    <w:p w14:paraId="58EB8074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数据库使用 SQLite，写操作涉及多个表时必须使用事务；课程冲突、教室冲突和状态流转由后端与数据库约束共同保证。</w:t>
      </w:r>
    </w:p>
    <w:p w14:paraId="38C32357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当前开发环境使用 HTTP，适用于课程项目和局域网联调；正式部署应使用固定服务器地址和 HTTPS。</w:t>
      </w:r>
    </w:p>
    <w:p w14:paraId="5ECF136E">
      <w:pPr>
        <w:pStyle w:val="3"/>
        <w:keepNext/>
        <w:spacing w:before="16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4. 关键用例视图</w:t>
      </w:r>
    </w:p>
    <w:p w14:paraId="193D7B1A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关键用例视图反映四类用户与系统核心能力的关系。所有业务用例均包含登录鉴权，页面仅根据角色控制入口显示，最终访问权限由 Flask 服务端判断。</w:t>
      </w:r>
    </w:p>
    <w:p w14:paraId="7F00912B">
      <w:pPr>
        <w:spacing w:before="80" w:after="40"/>
        <w:jc w:val="center"/>
      </w:pPr>
      <w:r>
        <w:drawing>
          <wp:inline distT="0" distB="0" distL="114300" distR="114300">
            <wp:extent cx="3491865" cy="6899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999" cy="690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950D"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4-1 教学过程管理系统关键用例视图</w:t>
      </w:r>
    </w:p>
    <w:p w14:paraId="05BDC1B6">
      <w:r>
        <w:br w:type="page"/>
      </w:r>
    </w:p>
    <w:p w14:paraId="2DB04DFF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4.1 用户认证与个人资料</w:t>
      </w:r>
    </w:p>
    <w:p w14:paraId="6403D315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用户使用学校或管理员预建账号登录。登录成功后服务端生成带过期时间的 Token，HarmonyOS 客户端通过 SessionStore 保存 Token、用户编号、账号、姓名、角色和到期时间。应用再次启动时先读取本地会话，再调用 /api/auth/me 由服务端验证 Token；无效 Token 会被清理并返回登录状态。</w:t>
      </w:r>
    </w:p>
    <w:p w14:paraId="444AC3DF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四类角色均可查看本人资料。</w:t>
      </w:r>
    </w:p>
    <w:p w14:paraId="57191BA2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用户可修改允许开放的联系电话、邮箱、性别及教师简介等资料。</w:t>
      </w:r>
    </w:p>
    <w:p w14:paraId="6E484187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用户可修改本人密码，服务端撤销其他会话 Token。</w:t>
      </w:r>
    </w:p>
    <w:p w14:paraId="6D213C99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退出登录会撤销当前 Token，并清理客户端持久化会话。</w:t>
      </w:r>
    </w:p>
    <w:p w14:paraId="16A4508E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4.2 课程与课表管理</w:t>
      </w:r>
    </w:p>
    <w:p w14:paraId="3831EF33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学生可以分页查询课程、查看课程详情和排课，在开放时间内完成选课或退课；教师可以查询本人授课课程、课程学生名单和基础排课；各角色可以按照日期查看个人课表。课表结果会结合已经审批通过的调课记录，输出有效星期、节次和教室。</w:t>
      </w:r>
    </w:p>
    <w:p w14:paraId="6B50456E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选课检查课程状态、选课时间、容量、重复选择和课程时间冲突。</w:t>
      </w:r>
    </w:p>
    <w:p w14:paraId="2D40E82E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退课保留历史记录，通过状态由 SELECTED 变为 DROPPED。</w:t>
      </w:r>
    </w:p>
    <w:p w14:paraId="039ACB86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课程时间冲突同时考虑学期、周次范围、单双周、星期和节次。</w:t>
      </w:r>
    </w:p>
    <w:p w14:paraId="5C2B23A5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课程已选人数由数据库触发器与选课记录保持一致。</w:t>
      </w:r>
    </w:p>
    <w:p w14:paraId="4FF52C68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4.3 教室预约管理</w:t>
      </w:r>
    </w:p>
    <w:p w14:paraId="0511A7EA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学生和教师可以查询教室及指定日期、节次和人数条件下的空闲教室，提交预约申请并查看自己的申请、详情和操作日志。教务人员与管理员查看待审批申请并执行通过或驳回。</w:t>
      </w:r>
    </w:p>
    <w:p w14:paraId="76282DF3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提交时校验教室状态、容量、日期和节次。</w:t>
      </w:r>
    </w:p>
    <w:p w14:paraId="2EDF2FB6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审批前再次检查与正式排课、已通过预约的时间冲突。</w:t>
      </w:r>
    </w:p>
    <w:p w14:paraId="114FFD25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申请状态包括 PENDING、APPROVED、REJECTED、CANCELLED 和 FINISHED。</w:t>
      </w:r>
    </w:p>
    <w:p w14:paraId="29384FDA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每次提交、修改、审批、驳回、取消和结束均写入 room_booking_log。</w:t>
      </w:r>
    </w:p>
    <w:p w14:paraId="1BE62E12">
      <w:r>
        <w:br w:type="page"/>
      </w:r>
    </w:p>
    <w:p w14:paraId="376E1F48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4.4 学生请假管理</w:t>
      </w:r>
    </w:p>
    <w:p w14:paraId="48EDC7AB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学生只能针对本人当前已选课程提交请假，一次申请可关联多门受影响课程。学生可以查询请假历史和详情，并在待审批状态取消申请；相关任课教师可以查看涉及本人课程的学生请假，审批由教务人员或管理员完成。</w:t>
      </w:r>
    </w:p>
    <w:p w14:paraId="7B9DA075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请假类型包括 SICK、PERSONAL 和 OTHER。</w:t>
      </w:r>
    </w:p>
    <w:p w14:paraId="0371D731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请假状态包括 PENDING、APPROVED、REJECTED 和 CANCELLED。</w:t>
      </w:r>
    </w:p>
    <w:p w14:paraId="71041697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请假与课程的多对多关系保存于 leave_request_course。</w:t>
      </w:r>
    </w:p>
    <w:p w14:paraId="10F8D213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审批结果与审批意见写入 leave_request 和 approval_record。</w:t>
      </w:r>
    </w:p>
    <w:p w14:paraId="10646D69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4.5 教师调课管理</w:t>
      </w:r>
    </w:p>
    <w:p w14:paraId="2B9DE641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教师只能对本人授课课程的排课提交调课申请。调课支持只调整时间、只调整教室或同时调整时间和教室。教务人员或管理员审批前由后端执行教师冲突、教室冲突、容量和原排课归属检查。</w:t>
      </w:r>
    </w:p>
    <w:p w14:paraId="11D9B5FA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TIME 类型要求新周次、星期和节次。</w:t>
      </w:r>
    </w:p>
    <w:p w14:paraId="02E6AC63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ROOM 类型要求新教室。</w:t>
      </w:r>
    </w:p>
    <w:p w14:paraId="3B38EECA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BOTH 类型同时要求新时间和新教室。</w:t>
      </w:r>
    </w:p>
    <w:p w14:paraId="5B72A18E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审批通过后在事务中更新调课记录、正式排课和审批记录。</w:t>
      </w:r>
    </w:p>
    <w:p w14:paraId="5ED9EA32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4.6 通知与后台管理</w:t>
      </w:r>
    </w:p>
    <w:p w14:paraId="2B12DE2C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教师、教务人员和管理员可以发布通知；学生、教师、教务人员和管理员按照接收范围获取通知并标记已读。教师只能在截止时间前撤回自己发布的通知，教务人员和管理员可管理授权范围内的通知。后台管理面向教务人员和管理员，覆盖人员、院系、班级、教室、学期、课程、排课和审批历史。</w:t>
      </w:r>
    </w:p>
    <w:p w14:paraId="09595194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通知范围支持全体学生、指定班级、指定院系和指定用户。</w:t>
      </w:r>
    </w:p>
    <w:p w14:paraId="5057AF15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通知接收状态由 notification_recipient 记录。</w:t>
      </w:r>
    </w:p>
    <w:p w14:paraId="04685A84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管理员创建学生、教师、教务人员和管理员账号，并维护启用状态与初始密码。</w:t>
      </w:r>
    </w:p>
    <w:p w14:paraId="77CAE499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教务人员和管理员集中处理教室预约、学生请假和教师调课审批。</w:t>
      </w:r>
    </w:p>
    <w:p w14:paraId="067D4426">
      <w:r>
        <w:br w:type="page"/>
      </w:r>
    </w:p>
    <w:p w14:paraId="32FE561D">
      <w:pPr>
        <w:pStyle w:val="3"/>
        <w:keepNext/>
        <w:spacing w:before="16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5. 层次结构</w:t>
      </w:r>
    </w:p>
    <w:p w14:paraId="20DCCEE9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系统按照表示层、客户端接口层、业务服务层、数据服务层和数据实体层组织。上层仅依赖相邻下层公开能力，页面不直接访问数据库，Flask 路由不依赖 HarmonyOS 页面实现。</w:t>
      </w:r>
    </w:p>
    <w:p w14:paraId="1EC10495">
      <w:pPr>
        <w:spacing w:before="80" w:after="40"/>
        <w:jc w:val="center"/>
      </w:pPr>
      <w:r>
        <w:drawing>
          <wp:inline distT="0" distB="0" distL="114300" distR="114300">
            <wp:extent cx="3167380" cy="4041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40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2719"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5-1 教学过程管理系统层次结构</w:t>
      </w:r>
    </w:p>
    <w:p w14:paraId="14859D08">
      <w:pPr>
        <w:pStyle w:val="3"/>
        <w:keepNext/>
        <w:spacing w:before="160" w:after="120"/>
      </w:pPr>
      <w:r>
        <w:rPr>
          <w:rFonts w:ascii="Times New Roman" w:hAnsi="Times New Roman" w:eastAsia="黑体"/>
          <w:b/>
          <w:sz w:val="32"/>
        </w:rPr>
        <w:t>6. 逻辑视图</w:t>
      </w:r>
    </w:p>
    <w:p w14:paraId="6E3FFB68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6.1 概述</w:t>
      </w:r>
    </w:p>
    <w:p w14:paraId="11E6B3A2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逻辑视图说明具有构架意义的页面、组件、客户端接口模块、Flask 业务模块和数据访问构件。当前系统以功能域作为模块边界，通过统一 API 单例和统一响应结构减少页面与网络细节的耦合。</w:t>
      </w:r>
    </w:p>
    <w:p w14:paraId="17467674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用户服务层：负责 ArkUI 页面、用户交互、状态展示和角色导航。</w:t>
      </w:r>
    </w:p>
    <w:p w14:paraId="34232C93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业务逻辑层：负责客户端业务 API 方法、服务端路由、鉴权、参数校验、冲突检查和事务组织。</w:t>
      </w:r>
    </w:p>
    <w:p w14:paraId="3F315AB5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数据服务层：负责 SQLite 连接、迁移、测试数据生成、数据查询和持久化。</w:t>
      </w:r>
    </w:p>
    <w:p w14:paraId="6FA4273E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数据实体层：负责表、视图、索引、外键、检查约束和触发器。</w:t>
      </w:r>
    </w:p>
    <w:p w14:paraId="4CA82FFC">
      <w:r>
        <w:br w:type="page"/>
      </w:r>
    </w:p>
    <w:p w14:paraId="12F0E4FF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6.2 用户服务层</w:t>
      </w:r>
    </w:p>
    <w:p w14:paraId="499C95DD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用户服务层位于 entry/src/main/ets/pages、components 和 utils。Index 作为唯一入口页面，完成登录、会话恢复、角色状态维护和底部导航；其他页面按业务域调用 Api 单例。UiKit 提供统一视觉组件，UiUtils 提供提示、状态映射和日期工具。</w:t>
      </w:r>
    </w:p>
    <w:p w14:paraId="4FCD3ADA">
      <w:pPr>
        <w:spacing w:before="80" w:after="40"/>
        <w:jc w:val="center"/>
      </w:pPr>
      <w:r>
        <w:drawing>
          <wp:inline distT="0" distB="0" distL="114300" distR="114300">
            <wp:extent cx="4679950" cy="687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8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38BD"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6-1 用户服务层包结构</w:t>
      </w:r>
    </w:p>
    <w:p w14:paraId="6C85FF5B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6.2.1 Package authPage</w:t>
      </w:r>
    </w:p>
    <w:p w14:paraId="353294E4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authPage 由 Index 中的登录视图、restoreSession() 和 login() 组成。启动时注册 UnauthorizedHandler，Token 失效时重置登录状态；登录成功后保存姓名、角色和账号，并进入主工作台。</w:t>
      </w:r>
    </w:p>
    <w:p w14:paraId="6CFC01A7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6.2.2 Package homePage</w:t>
      </w:r>
    </w:p>
    <w:p w14:paraId="0B33432A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homePage 对应 HomePage.ets。页面调用 Api.profile.getHome() 获取角色首页统计，并调用通知接口获取最新通知。学生、教师与管理角色使用不同统计项，但复用统一的 MetricCard、SectionTitle、LoadingState 和 EmptyState。</w:t>
      </w:r>
    </w:p>
    <w:p w14:paraId="5C429C19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6.2.3 Package coursePage</w:t>
      </w:r>
    </w:p>
    <w:p w14:paraId="2AFA79C5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coursePage 对应 CoursePage.ets 与 TimetablePage.ets。学生界面提供课程搜索、选课、退课和已选课程列表；教师界面提供授课课程和学生名单；课表页按照日期查询并标识已生效调课。</w:t>
      </w:r>
    </w:p>
    <w:p w14:paraId="31E320B9">
      <w:r>
        <w:br w:type="page"/>
      </w:r>
    </w:p>
    <w:p w14:paraId="566453E0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6.2.4 Package workflowPage</w:t>
      </w:r>
    </w:p>
    <w:p w14:paraId="4B5D84EC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workflowPage 对应 WorkflowPage.ets。学生显示教室预约与请假申请，教师显示教室预约与调课申请，教务人员和管理员显示三类待审批事项。表单状态、列表状态和审批意见均由同一页面按角色和分区切换。</w:t>
      </w:r>
    </w:p>
    <w:p w14:paraId="48B70DFC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6.2.5 Package notificationPage</w:t>
      </w:r>
    </w:p>
    <w:p w14:paraId="751D1AC3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notificationPage 对应 NotificationPage.ets。页面提供收到的通知、发布记录或通知管理列表；打开未读通知时调用 markRead；发布表单根据接收范围生成不同目标字段；撤回操作由服务端继续检查发布人、角色和截止时间。</w:t>
      </w:r>
    </w:p>
    <w:p w14:paraId="42691924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6.2.6 Package adminProfilePage</w:t>
      </w:r>
    </w:p>
    <w:p w14:paraId="3FAAE6CD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adminProfilePage 由 AdminPage.ets 与 ProfilePage.ets 组成。AdminPage 面向教务人员和管理员提供人员、基础数据、课程排课和审批记录管理；ProfilePage 面向所有角色提供资料编辑、密码修改和退出登录。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5793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7E7E7"/>
          </w:tcPr>
          <w:p w14:paraId="7595836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构件/包</w:t>
            </w:r>
          </w:p>
        </w:tc>
        <w:tc>
          <w:tcPr>
            <w:tcW w:w="2948" w:type="dxa"/>
            <w:shd w:val="clear" w:color="auto" w:fill="E7E7E7"/>
          </w:tcPr>
          <w:p w14:paraId="00F366E3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主要文件或类</w:t>
            </w:r>
          </w:p>
        </w:tc>
        <w:tc>
          <w:tcPr>
            <w:tcW w:w="3515" w:type="dxa"/>
            <w:shd w:val="clear" w:color="auto" w:fill="E7E7E7"/>
          </w:tcPr>
          <w:p w14:paraId="27702C1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职责说明</w:t>
            </w:r>
          </w:p>
        </w:tc>
      </w:tr>
      <w:tr w14:paraId="78674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BB93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Index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DF6D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Index.ets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6CA8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应用入口、登录、恢复会话、底部导航、角色页面装配。</w:t>
            </w:r>
          </w:p>
        </w:tc>
      </w:tr>
      <w:tr w14:paraId="3BB46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BD0DE0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HomePage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EF5C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HomePage.ets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4916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角色首页统计、快捷入口和最新通知。</w:t>
            </w:r>
          </w:p>
        </w:tc>
      </w:tr>
      <w:tr w14:paraId="17FBC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A31D10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CoursePage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84F82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CoursePage.ets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69A90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课程查询、学生选课、教师课程与学生名单。</w:t>
            </w:r>
          </w:p>
        </w:tc>
      </w:tr>
      <w:tr w14:paraId="4EB24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7230D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TimetablePage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16DED3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TimetablePage.ets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76D47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按日期显示个人有效课表和调课标识。</w:t>
            </w:r>
          </w:p>
        </w:tc>
      </w:tr>
      <w:tr w14:paraId="33F9C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53869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WorkflowPage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6ADE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WorkflowPage.ets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056C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预约、请假、调课申请及管理角色审批。</w:t>
            </w:r>
          </w:p>
        </w:tc>
      </w:tr>
      <w:tr w14:paraId="30302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7CFCD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NotificationPage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83EDC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NotificationPage.ets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585EB3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通知列表、已读、发布和撤回。</w:t>
            </w:r>
          </w:p>
        </w:tc>
      </w:tr>
      <w:tr w14:paraId="194B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8CB83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AdminPage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BC363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AdminPage.ets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875AF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人员、院系、班级、教室、学期、课程和排课。</w:t>
            </w:r>
          </w:p>
        </w:tc>
      </w:tr>
      <w:tr w14:paraId="51BDD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DC4D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ProfilePage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3B27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ProfilePage.ets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DF95D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个人资料、密码和退出登录。</w:t>
            </w:r>
          </w:p>
        </w:tc>
      </w:tr>
      <w:tr w14:paraId="6C3AD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C7365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UiKit / UiUtils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5E6E5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components/UiKit.ets；utils/UiUtils.ets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217B1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统一组件、状态样式、提示信息和日期工具。</w:t>
            </w:r>
          </w:p>
        </w:tc>
      </w:tr>
    </w:tbl>
    <w:p w14:paraId="125B77D2">
      <w:r>
        <w:br w:type="page"/>
      </w:r>
    </w:p>
    <w:p w14:paraId="0EE8243C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6.3 业务逻辑层</w:t>
      </w:r>
    </w:p>
    <w:p w14:paraId="2B17B415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业务逻辑层由 HarmonyOS 客户端 API 封装和 Flask 服务端业务模块共同构成。客户端以类型安全的方法隐藏 URL、Token 和 JSON 解析；服务端以 Blueprint 接收请求，经 auth_guard 完成身份与角色判断，再执行领域规则和事务。</w:t>
      </w:r>
    </w:p>
    <w:p w14:paraId="78BD1A50">
      <w:pPr>
        <w:spacing w:before="80" w:after="40"/>
        <w:jc w:val="center"/>
      </w:pPr>
      <w:r>
        <w:drawing>
          <wp:inline distT="0" distB="0" distL="114300" distR="114300">
            <wp:extent cx="4787900" cy="1486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14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2C60"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6-2 业务逻辑层包结构</w:t>
      </w:r>
    </w:p>
    <w:p w14:paraId="71776D34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6.3.1 Package authService</w:t>
      </w:r>
    </w:p>
    <w:p w14:paraId="34F96F08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authService 包括 AuthApi、Flask auth Blueprint、SessionStore 和 auth_guard。登录接口不携带 Token；其他接口由 ApiClient 自动读取 Token 并设置 Authorization 请求头。服务端校验 Token 存在性、撤销状态、过期时间和账号状态。</w:t>
      </w:r>
    </w:p>
    <w:p w14:paraId="33838211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6.3.2 Package profileCommonService</w:t>
      </w:r>
    </w:p>
    <w:p w14:paraId="682DC0D4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profileCommonService 包括 ProfileApi、CommonApi，以及 profile、common Blueprint。该包提供个人资料、首页统计、院系、班级、学期、教室、空闲教室和个人课表等公共能力。</w:t>
      </w:r>
    </w:p>
    <w:p w14:paraId="294EAA44">
      <w:r>
        <w:br w:type="page"/>
      </w:r>
    </w:p>
    <w:p w14:paraId="54D07330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6.3.3 Package courseService</w:t>
      </w:r>
    </w:p>
    <w:p w14:paraId="7A02AB57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courseService 包括 CourseApi 与 courses Blueprint。该包负责课程分页查询、详情、排课、学生选课与退课、本人选课、教师授课课程、教师排课和课程学生名单。选课写入使用事务，并由数据库约束维护 selected_count。</w:t>
      </w:r>
    </w:p>
    <w:p w14:paraId="0D8CD222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查询接口支持 page、pageSize、keyword、departmentId 和 selectionStatus 等参数。</w:t>
      </w:r>
    </w:p>
    <w:p w14:paraId="145ED250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学生选课和退课接口只允许 STUDENT 角色调用。</w:t>
      </w:r>
    </w:p>
    <w:p w14:paraId="054A8291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教师授课课程和名单接口只允许 TEACHER 角色调用。</w:t>
      </w:r>
    </w:p>
    <w:p w14:paraId="25757D90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课表计算会合并 schedule_change 中已经审批通过的有效变更。</w:t>
      </w:r>
    </w:p>
    <w:p w14:paraId="6051B5A4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6.3.4 Package workflowService</w:t>
      </w:r>
    </w:p>
    <w:p w14:paraId="3372286E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workflowService 包括 BookingApi、LeaveApi、ScheduleChangeApi，以及 bookings、leaves、schedule_changes Blueprint。三类流程均采用申请人提交、查询本人记录、取消待审记录、管理角色查询待审批、审批通过或驳回的通用状态机。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2F6C2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7E7E7"/>
          </w:tcPr>
          <w:p w14:paraId="695AB39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构件/包</w:t>
            </w:r>
          </w:p>
        </w:tc>
        <w:tc>
          <w:tcPr>
            <w:tcW w:w="2948" w:type="dxa"/>
            <w:shd w:val="clear" w:color="auto" w:fill="E7E7E7"/>
          </w:tcPr>
          <w:p w14:paraId="4D19C7BC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主要文件或类</w:t>
            </w:r>
          </w:p>
        </w:tc>
        <w:tc>
          <w:tcPr>
            <w:tcW w:w="3515" w:type="dxa"/>
            <w:shd w:val="clear" w:color="auto" w:fill="E7E7E7"/>
          </w:tcPr>
          <w:p w14:paraId="25F7E06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职责说明</w:t>
            </w:r>
          </w:p>
        </w:tc>
      </w:tr>
      <w:tr w14:paraId="611E0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6E4D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教室预约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F399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BookingApi / bookings.py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00503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空闲教室、预约申请、详情、日志、取消、待审、通过、驳回和结束。</w:t>
            </w:r>
          </w:p>
        </w:tc>
      </w:tr>
      <w:tr w14:paraId="368F8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1E729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学生请假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07351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LeaveApi / leaves.py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5359A4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请假提交、课程关联、本人记录、相关教师查看、审批与取消。</w:t>
            </w:r>
          </w:p>
        </w:tc>
      </w:tr>
      <w:tr w14:paraId="21F76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976A4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教师调课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B9DAA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ScheduleChangeApi / schedule_changes.py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2BE7E6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调课提交、冲突检查、本人记录、待审、通过、驳回与取消。</w:t>
            </w:r>
          </w:p>
        </w:tc>
      </w:tr>
      <w:tr w14:paraId="074C97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3D30CF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公共规则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B368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services.py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20A60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教学周计算、单双周判断、教师与教室时间冲突检查。</w:t>
            </w:r>
          </w:p>
        </w:tc>
      </w:tr>
      <w:tr w14:paraId="3B95A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0B588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事务边界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B8E543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BEGIN IMMEDIATE / commit / rollback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F006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保证申请状态、审批记录、日志和正式排课一致写入。</w:t>
            </w:r>
          </w:p>
        </w:tc>
      </w:tr>
    </w:tbl>
    <w:p w14:paraId="0E823594">
      <w:r>
        <w:br w:type="page"/>
      </w:r>
    </w:p>
    <w:p w14:paraId="04F67BE0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6.3.5 Package notificationService</w:t>
      </w:r>
    </w:p>
    <w:p w14:paraId="4AA7147D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notificationService 包括 NotificationApi 与 notifications Blueprint。接收列表按照 notification_recipient 查询，未读数量由 is_read 汇总；发布接口根据 audienceType 生成接收人；撤回接口根据角色、发布人、状态和 expires_at 判断。</w:t>
      </w:r>
    </w:p>
    <w:p w14:paraId="4F35B60C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6.3.6 Package adminService</w:t>
      </w:r>
    </w:p>
    <w:p w14:paraId="5A85C761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adminService 包括 AdminApi 与 admin Blueprint。管理员可以创建和维护用户，教务人员与管理员可以按照授权范围管理院系、班级、教室、学期、课程、排课和审批记录。用户创建会同时写入 sys_user 与对应角色资料表。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3D242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7E7E7"/>
          </w:tcPr>
          <w:p w14:paraId="5F87DED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构件/包</w:t>
            </w:r>
          </w:p>
        </w:tc>
        <w:tc>
          <w:tcPr>
            <w:tcW w:w="2948" w:type="dxa"/>
            <w:shd w:val="clear" w:color="auto" w:fill="E7E7E7"/>
          </w:tcPr>
          <w:p w14:paraId="0031007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主要文件或类</w:t>
            </w:r>
          </w:p>
        </w:tc>
        <w:tc>
          <w:tcPr>
            <w:tcW w:w="3515" w:type="dxa"/>
            <w:shd w:val="clear" w:color="auto" w:fill="E7E7E7"/>
          </w:tcPr>
          <w:p w14:paraId="31E9115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职责说明</w:t>
            </w:r>
          </w:p>
        </w:tc>
      </w:tr>
      <w:tr w14:paraId="68421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160A49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AuthApi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E64A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login、me、logout、changePassword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8A1B2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认证和会话生命周期。</w:t>
            </w:r>
          </w:p>
        </w:tc>
      </w:tr>
      <w:tr w14:paraId="72A85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B930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ProfileApi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36202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getMyProfile、updateMyProfile、getHome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85FF0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个人资料与角色首页。</w:t>
            </w:r>
          </w:p>
        </w:tc>
      </w:tr>
      <w:tr w14:paraId="381B3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98CD1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CommonApi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61A5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departments、classes、semesters、classrooms、timetable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87BA6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公共基础查询。</w:t>
            </w:r>
          </w:p>
        </w:tc>
      </w:tr>
      <w:tr w14:paraId="5A296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A938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CourseApi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0069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courses、enrollments、teaching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BDA4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课程、选课和教师教学数据。</w:t>
            </w:r>
          </w:p>
        </w:tc>
      </w:tr>
      <w:tr w14:paraId="0DE26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E1126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BookingApi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064F8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bookings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1097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教室预约与审批。</w:t>
            </w:r>
          </w:p>
        </w:tc>
      </w:tr>
      <w:tr w14:paraId="7CAB4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BD3848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LeaveApi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306BA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leaves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CC87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学生请假与审批。</w:t>
            </w:r>
          </w:p>
        </w:tc>
      </w:tr>
      <w:tr w14:paraId="46491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91F83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ScheduleChangeApi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2CA7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schedule-changes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097D94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教师调课、冲突检查与审批。</w:t>
            </w:r>
          </w:p>
        </w:tc>
      </w:tr>
      <w:tr w14:paraId="740D2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C4E62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NotificationApi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BCC15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notifications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643F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通知接收、发布、已读和撤回。</w:t>
            </w:r>
          </w:p>
        </w:tc>
      </w:tr>
      <w:tr w14:paraId="4D293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071A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AdminApi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6DB7DF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admin/*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93DE6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人员、基础数据、课程排课和审批审计。</w:t>
            </w:r>
          </w:p>
        </w:tc>
      </w:tr>
    </w:tbl>
    <w:p w14:paraId="5C19A242">
      <w:r>
        <w:br w:type="page"/>
      </w:r>
    </w:p>
    <w:p w14:paraId="64CCD70C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6.4 数据服务层</w:t>
      </w:r>
    </w:p>
    <w:p w14:paraId="5064FECD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数据服务层负责建立 SQLite 连接、执行参数化 SQL、管理事务、迁移数据库结构、生成测试数据和保证数据完整性。Flask 使用请求级连接，每个请求结束时自动关闭连接。</w:t>
      </w:r>
    </w:p>
    <w:p w14:paraId="2F96C26C">
      <w:pPr>
        <w:spacing w:before="80" w:after="40"/>
        <w:jc w:val="center"/>
      </w:pPr>
      <w:r>
        <w:drawing>
          <wp:inline distT="0" distB="0" distL="114300" distR="114300">
            <wp:extent cx="4607560" cy="997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9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F2A6"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6-3 数据服务层包结构</w:t>
      </w:r>
    </w:p>
    <w:p w14:paraId="69A0696E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6.4.1 Package databaseAccess</w:t>
      </w:r>
    </w:p>
    <w:p w14:paraId="095AB8F0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databaseAccess 对应 db.py。connect_db() 创建连接，启用 sqlite3.Row、外键约束和 15 秒 busy_timeout；get_db() 将连接保存在 Flask g 对象中；close_db() 在请求上下文结束时关闭连接。</w:t>
      </w:r>
    </w:p>
    <w:p w14:paraId="607DE9FB">
      <w:pPr>
        <w:shd w:val="clear" w:fill="F2F2F2"/>
        <w:spacing w:before="60" w:after="100" w:line="276" w:lineRule="auto"/>
        <w:ind w:left="397" w:right="227"/>
      </w:pPr>
      <w:r>
        <w:rPr>
          <w:rFonts w:ascii="Consolas" w:hAnsi="Consolas" w:eastAsia="等线"/>
          <w:b w:val="0"/>
          <w:sz w:val="19"/>
        </w:rPr>
        <w:t>conn = sqlite3.connect(path, timeout=15)</w:t>
      </w:r>
      <w:r>
        <w:br w:type="textWrapping"/>
      </w:r>
      <w:r>
        <w:rPr>
          <w:rFonts w:ascii="Consolas" w:hAnsi="Consolas" w:eastAsia="等线"/>
          <w:b w:val="0"/>
          <w:sz w:val="19"/>
        </w:rPr>
        <w:t>conn.row_factory = sqlite3.Row</w:t>
      </w:r>
      <w:r>
        <w:br w:type="textWrapping"/>
      </w:r>
      <w:r>
        <w:rPr>
          <w:rFonts w:ascii="Consolas" w:hAnsi="Consolas" w:eastAsia="等线"/>
          <w:b w:val="0"/>
          <w:sz w:val="19"/>
        </w:rPr>
        <w:t>conn.execute('PRAGMA foreign_keys = ON')</w:t>
      </w:r>
      <w:r>
        <w:br w:type="textWrapping"/>
      </w:r>
      <w:r>
        <w:rPr>
          <w:rFonts w:ascii="Consolas" w:hAnsi="Consolas" w:eastAsia="等线"/>
          <w:b w:val="0"/>
          <w:sz w:val="19"/>
        </w:rPr>
        <w:t>conn.execute('PRAGMA busy_timeout = 15000')</w:t>
      </w:r>
    </w:p>
    <w:p w14:paraId="791C49EB">
      <w:r>
        <w:br w:type="page"/>
      </w:r>
    </w:p>
    <w:p w14:paraId="4B1D3DBB">
      <w:pPr>
        <w:pStyle w:val="5"/>
        <w:keepNext/>
        <w:spacing w:before="120" w:after="120"/>
      </w:pPr>
      <w:r>
        <w:rPr>
          <w:rFonts w:ascii="Times New Roman" w:hAnsi="Times New Roman" w:eastAsia="黑体"/>
          <w:b/>
          <w:color w:val="auto"/>
          <w:sz w:val="25"/>
        </w:rPr>
        <w:t>6.4.2 Package migratio</w:t>
      </w:r>
      <w:r>
        <w:rPr>
          <w:rFonts w:ascii="Times New Roman" w:hAnsi="Times New Roman" w:eastAsia="黑体"/>
          <w:b/>
          <w:sz w:val="25"/>
        </w:rPr>
        <w:t>n</w:t>
      </w:r>
    </w:p>
    <w:p w14:paraId="751828AC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migration 对应 migrate.py。迁移脚本可重复执行，负责增加 semester、leave_request_course、room_booking_log、notification.expires_at 和必要索引，并替换选课冲突触发器，使单双周课程冲突判断更加准确。应用启动不会自动执行迁移，首次部署或结构变化后必须单独运行。</w:t>
      </w:r>
    </w:p>
    <w:p w14:paraId="12952EDE">
      <w:pPr>
        <w:shd w:val="clear" w:fill="F2F2F2"/>
        <w:spacing w:before="60" w:after="100" w:line="276" w:lineRule="auto"/>
        <w:ind w:left="397" w:right="227"/>
      </w:pPr>
      <w:r>
        <w:rPr>
          <w:rFonts w:ascii="Consolas" w:hAnsi="Consolas" w:eastAsia="等线"/>
          <w:b w:val="0"/>
          <w:sz w:val="19"/>
        </w:rPr>
        <w:t>cd teaching_flask_server</w:t>
      </w:r>
      <w:r>
        <w:br w:type="textWrapping"/>
      </w:r>
      <w:r>
        <w:rPr>
          <w:rFonts w:ascii="Consolas" w:hAnsi="Consolas" w:eastAsia="等线"/>
          <w:b w:val="0"/>
          <w:sz w:val="19"/>
        </w:rPr>
        <w:t>python migrate.py</w:t>
      </w:r>
    </w:p>
    <w:p w14:paraId="6C6AED12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6.4.3 Package testData</w:t>
      </w:r>
    </w:p>
    <w:p w14:paraId="51161242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testData 对应 seed_data.py 与 test_all_api.py。seed_data.py 可以生成具有完整关联关系的用户、课程、排课、选课、通知、请假、调课、预约和审批数据，并执行 SQLite 完整性、外键和统计字段校验；test_all_api.py 在临时数据库副本上完成接口集成测试，不修改正式数据库。</w:t>
      </w:r>
    </w:p>
    <w:p w14:paraId="3D53F878">
      <w:pPr>
        <w:shd w:val="clear" w:fill="F2F2F2"/>
        <w:spacing w:before="60" w:after="100" w:line="276" w:lineRule="auto"/>
        <w:ind w:left="397" w:right="227"/>
      </w:pPr>
      <w:r>
        <w:rPr>
          <w:rFonts w:ascii="Consolas" w:hAnsi="Consolas" w:eastAsia="等线"/>
          <w:b w:val="0"/>
          <w:sz w:val="19"/>
        </w:rPr>
        <w:t>python seed_data.py --users 2000 --password Test123456 --replace</w:t>
      </w:r>
      <w:r>
        <w:br w:type="textWrapping"/>
      </w:r>
      <w:r>
        <w:rPr>
          <w:rFonts w:ascii="Consolas" w:hAnsi="Consolas" w:eastAsia="等线"/>
          <w:b w:val="0"/>
          <w:sz w:val="19"/>
        </w:rPr>
        <w:t>python test_all_api.py</w:t>
      </w:r>
    </w:p>
    <w:p w14:paraId="5F5DE8ED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--replace 会清空现有业务数据，仅限测试数据库使用。</w:t>
      </w:r>
    </w:p>
    <w:p w14:paraId="4C7CE3C3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测试数据默认包含学生、教师、教务人员和管理员四类账号。</w:t>
      </w:r>
    </w:p>
    <w:p w14:paraId="046DF9C0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全接口测试覆盖 78 条 Flask 路由，并检查 HTTP 状态码、业务码、鉴权、事务和数据库完整性。</w:t>
      </w:r>
    </w:p>
    <w:p w14:paraId="7F8B7202">
      <w:r>
        <w:br w:type="page"/>
      </w:r>
    </w:p>
    <w:p w14:paraId="1C1E758F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6.4.4 Package identityData</w:t>
      </w:r>
    </w:p>
    <w:p w14:paraId="1753663E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identityData 包含 sys_user、student_profile、teacher_profile、academic_staff_profile 和 auth_token。sys_user 保存账号、密码哈希、姓名、角色、院系、班级和账号状态；角色资料表保存学号、工号、职称、学籍状态和审批级别；auth_token 保存 Token、过期时间与撤销状态。</w:t>
      </w:r>
    </w:p>
    <w:p w14:paraId="67D2ADF7">
      <w:pPr>
        <w:pStyle w:val="5"/>
        <w:keepNext/>
        <w:spacing w:before="120" w:after="120"/>
      </w:pPr>
      <w:r>
        <w:rPr>
          <w:rFonts w:ascii="Times New Roman" w:hAnsi="Times New Roman" w:eastAsia="黑体"/>
          <w:b/>
          <w:color w:val="auto"/>
          <w:sz w:val="25"/>
        </w:rPr>
        <w:t>6.4.5 Package teachingWorkflowDat</w:t>
      </w:r>
      <w:r>
        <w:rPr>
          <w:rFonts w:ascii="Times New Roman" w:hAnsi="Times New Roman" w:eastAsia="黑体"/>
          <w:b/>
          <w:sz w:val="25"/>
        </w:rPr>
        <w:t>a</w:t>
      </w:r>
    </w:p>
    <w:p w14:paraId="608BFCF0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teachingWorkflowData 包含 semester、course、course_schedule、course_enrollment、room_booking、room_booking_log、leave_request、leave_request_course、schedule_change 和 approval_record。该组数据共同描述教学安排、选课结果和三类审批流程。</w:t>
      </w:r>
    </w:p>
    <w:p w14:paraId="58B022EE">
      <w:pPr>
        <w:pStyle w:val="5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5"/>
        </w:rPr>
        <w:t>6.4.6 Package auditNotificationData</w:t>
      </w:r>
    </w:p>
    <w:p w14:paraId="26FCFCDB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auditNotificationData 包含 notification、notification_recipient、department、class_group 和 classroom。通知表保存发布主体、内容、范围、状态和截止时间；接收表保存用户级已读状态；院系、班级和教室为用户、课程与预约提供基础数据。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380EB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7E7E7"/>
          </w:tcPr>
          <w:p w14:paraId="6712366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构件/包</w:t>
            </w:r>
          </w:p>
        </w:tc>
        <w:tc>
          <w:tcPr>
            <w:tcW w:w="2948" w:type="dxa"/>
            <w:shd w:val="clear" w:color="auto" w:fill="E7E7E7"/>
          </w:tcPr>
          <w:p w14:paraId="163D5F3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主要文件或类</w:t>
            </w:r>
          </w:p>
        </w:tc>
        <w:tc>
          <w:tcPr>
            <w:tcW w:w="3515" w:type="dxa"/>
            <w:shd w:val="clear" w:color="auto" w:fill="E7E7E7"/>
          </w:tcPr>
          <w:p w14:paraId="0725328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职责说明</w:t>
            </w:r>
          </w:p>
        </w:tc>
      </w:tr>
      <w:tr w14:paraId="62DDA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B6D39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用户认证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B0CC9F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sys_user、auth_token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ACA40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账号、角色、状态、密码哈希和访问令牌。</w:t>
            </w:r>
          </w:p>
        </w:tc>
      </w:tr>
      <w:tr w14:paraId="405CF6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738CB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角色资料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8191C4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student_profile、teacher_profile、academic_staff_profile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3FCE3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学生、教师和教务/管理员扩展属性。</w:t>
            </w:r>
          </w:p>
        </w:tc>
      </w:tr>
      <w:tr w14:paraId="0BEA9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B8939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教学安排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206E5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semester、course、course_schedule、course_enrollment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F9FBE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学期、课程、排课和选课。</w:t>
            </w:r>
          </w:p>
        </w:tc>
      </w:tr>
      <w:tr w14:paraId="248C9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ED3F9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审批流程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B8670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room_booking、leave_request、schedule_change、approval_record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C2C4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预约、请假、调课及审批审计。</w:t>
            </w:r>
          </w:p>
        </w:tc>
      </w:tr>
      <w:tr w14:paraId="2EB37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44F76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过程日志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4634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room_booking_log、leave_request_course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6D0BB8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预约状态变更日志和请假课程关联。</w:t>
            </w:r>
          </w:p>
        </w:tc>
      </w:tr>
      <w:tr w14:paraId="6B28B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21667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通知基础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F156F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notification、notification_recipient、department、class_group、classroom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8F178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通知接收与院系、班级、教室基础数据。</w:t>
            </w:r>
          </w:p>
        </w:tc>
      </w:tr>
    </w:tbl>
    <w:p w14:paraId="640E7E9F">
      <w:r>
        <w:br w:type="page"/>
      </w:r>
    </w:p>
    <w:p w14:paraId="5BB8635C">
      <w:pPr>
        <w:pStyle w:val="3"/>
        <w:keepNext/>
        <w:spacing w:before="16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7. 部署视图</w:t>
      </w:r>
    </w:p>
    <w:p w14:paraId="02ADA365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当前项目采用开发期局域网部署。HarmonyOS 应用在 DevEco Studio 模拟器或真机上运行，Flask 服务端和 SQLite 数据库运行于开发电脑。客户端通过 HTTP 访问电脑局域网 IPv4 地址的 8080 端口。源代码托管于 GitHub，用于团队协作和版本管理。</w:t>
      </w:r>
    </w:p>
    <w:p w14:paraId="51C0718C">
      <w:pPr>
        <w:spacing w:before="80" w:after="40"/>
        <w:jc w:val="center"/>
      </w:pPr>
      <w:r>
        <w:drawing>
          <wp:inline distT="0" distB="0" distL="114300" distR="114300">
            <wp:extent cx="4751705" cy="883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88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56BA"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7-1 教学过程管理系统部署视图</w:t>
      </w:r>
    </w:p>
    <w:p w14:paraId="2B959401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7.1 HarmonyOS 运行节点</w:t>
      </w:r>
    </w:p>
    <w:p w14:paraId="5838705D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使用 DevEco Studio 打开仓库根目录工程。</w:t>
      </w:r>
    </w:p>
    <w:p w14:paraId="26A9A284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工程采用 Stage 模型，入口页面为 pages/Index。</w:t>
      </w:r>
    </w:p>
    <w:p w14:paraId="0E6075D1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module.json5 需要声明 ohos.permission.INTERNET。</w:t>
      </w:r>
    </w:p>
    <w:p w14:paraId="174309FE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EntryAbility 在加载页面前调用 Api.init(this.context) 初始化 Preferences 会话存储。</w:t>
      </w:r>
    </w:p>
    <w:p w14:paraId="0262D37F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7.2 Flask 服务节点</w:t>
      </w:r>
    </w:p>
    <w:p w14:paraId="70A8CAA5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服务端目录为 teaching_flask_server。</w:t>
      </w:r>
    </w:p>
    <w:p w14:paraId="326B73BC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安装 requirements.txt 后执行 migrate.py。</w:t>
      </w:r>
    </w:p>
    <w:p w14:paraId="5F59F28E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首次空库使用 create_admin.py 创建管理员；测试环境可运行 seed_data.py。</w:t>
      </w:r>
    </w:p>
    <w:p w14:paraId="360D46EF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执行 python app.py 后默认监听 0.0.0.0:8080。</w:t>
      </w:r>
    </w:p>
    <w:p w14:paraId="04D4ABE6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Windows 防火墙需允许 Python 或 TCP 8080 端口。</w:t>
      </w:r>
    </w:p>
    <w:p w14:paraId="54E85AE3">
      <w:pPr>
        <w:pStyle w:val="4"/>
        <w:keepNext/>
        <w:spacing w:before="120" w:after="120"/>
        <w:rPr>
          <w:color w:val="auto"/>
          <w:sz w:val="24"/>
          <w:szCs w:val="24"/>
        </w:rPr>
      </w:pPr>
      <w:r>
        <w:rPr>
          <w:rFonts w:ascii="Times New Roman" w:hAnsi="Times New Roman" w:eastAsia="黑体"/>
          <w:b/>
          <w:color w:val="auto"/>
          <w:sz w:val="24"/>
          <w:szCs w:val="24"/>
        </w:rPr>
        <w:t>7.3 数据节点</w:t>
      </w:r>
    </w:p>
    <w:p w14:paraId="39154F66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默认数据库文件为 teaching_flask_server/data/teaching.db，也可以通过 TEACHING_DB 环境变量指定其他 SQLite 文件。Token 默认有效期为 7 天，可通过 TOKEN_EXPIRE_DAYS 调整。</w:t>
      </w:r>
    </w:p>
    <w:p w14:paraId="370C1DB2">
      <w:pPr>
        <w:shd w:val="clear" w:fill="F2F2F2"/>
        <w:spacing w:before="60" w:after="100" w:line="276" w:lineRule="auto"/>
        <w:ind w:left="397" w:right="227"/>
      </w:pPr>
      <w:r>
        <w:rPr>
          <w:rFonts w:ascii="Consolas" w:hAnsi="Consolas" w:eastAsia="等线"/>
          <w:b w:val="0"/>
          <w:sz w:val="19"/>
        </w:rPr>
        <w:t>$env:TEACHING_DB='D:\data\teaching.db'</w:t>
      </w:r>
      <w:r>
        <w:br w:type="textWrapping"/>
      </w:r>
      <w:r>
        <w:rPr>
          <w:rFonts w:ascii="Consolas" w:hAnsi="Consolas" w:eastAsia="等线"/>
          <w:b w:val="0"/>
          <w:sz w:val="19"/>
        </w:rPr>
        <w:t>$env:TOKEN_EXPIRE_DAYS='7'</w:t>
      </w:r>
      <w:r>
        <w:br w:type="textWrapping"/>
      </w:r>
      <w:r>
        <w:rPr>
          <w:rFonts w:ascii="Consolas" w:hAnsi="Consolas" w:eastAsia="等线"/>
          <w:b w:val="0"/>
          <w:sz w:val="19"/>
        </w:rPr>
        <w:t>python app.py</w:t>
      </w:r>
    </w:p>
    <w:p w14:paraId="2B08D60E">
      <w:r>
        <w:br w:type="page"/>
      </w:r>
    </w:p>
    <w:p w14:paraId="383C836B">
      <w:pPr>
        <w:pStyle w:val="3"/>
        <w:keepNext/>
        <w:spacing w:before="16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2"/>
        </w:rPr>
        <w:t>8. 接口设计</w:t>
      </w:r>
    </w:p>
    <w:p w14:paraId="5528539A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HarmonyOS 页面不直接访问 HTTP。页面调用 Api.ets 暴露的 auth、profile、common、course、booking、leave、scheduleChange、notification 和 admin 模块。各模块将类型化请求交给唯一 ApiClient；ApiClient 负责服务器地址、查询参数、JSON、Token、统一响应和 ApiError。</w:t>
      </w:r>
    </w:p>
    <w:p w14:paraId="530CEE19">
      <w:pPr>
        <w:spacing w:before="80" w:after="40"/>
        <w:jc w:val="center"/>
      </w:pPr>
      <w:r>
        <w:drawing>
          <wp:inline distT="0" distB="0" distL="114300" distR="114300">
            <wp:extent cx="4859655" cy="463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874F"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8-1 前后端接口调用流程</w:t>
      </w:r>
    </w:p>
    <w:p w14:paraId="08094C65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8.1 接口协议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770C76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7E7E7"/>
          </w:tcPr>
          <w:p w14:paraId="1CEB994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构件/包</w:t>
            </w:r>
          </w:p>
        </w:tc>
        <w:tc>
          <w:tcPr>
            <w:tcW w:w="2948" w:type="dxa"/>
            <w:shd w:val="clear" w:color="auto" w:fill="E7E7E7"/>
          </w:tcPr>
          <w:p w14:paraId="50342004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主要文件或类</w:t>
            </w:r>
          </w:p>
        </w:tc>
        <w:tc>
          <w:tcPr>
            <w:tcW w:w="3515" w:type="dxa"/>
            <w:shd w:val="clear" w:color="auto" w:fill="E7E7E7"/>
          </w:tcPr>
          <w:p w14:paraId="3DEBAB9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职责说明</w:t>
            </w:r>
          </w:p>
        </w:tc>
      </w:tr>
      <w:tr w14:paraId="07479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CBFB6F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基础地址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BB7D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http://&lt;服务端电脑IPv4&gt;:8080/api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40B55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ApiConfig.BASE_URL 统一配置；业务模块只写相对路径。</w:t>
            </w:r>
          </w:p>
        </w:tc>
      </w:tr>
      <w:tr w14:paraId="34312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54BC9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数据格式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A023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application/json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A6246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请求和响应字段使用 camelCase。</w:t>
            </w:r>
          </w:p>
        </w:tc>
      </w:tr>
      <w:tr w14:paraId="3F296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4D8119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鉴权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B643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Authorization: Bearer &lt;token&gt;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8984D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登录接口除外；Token 失效时客户端清除会话。</w:t>
            </w:r>
          </w:p>
        </w:tc>
      </w:tr>
      <w:tr w14:paraId="7395B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34900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统一响应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8CDC3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code、message、data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17D2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code=0 表示成功，ApiClient 只向页面返回 data。</w:t>
            </w:r>
          </w:p>
        </w:tc>
      </w:tr>
      <w:tr w14:paraId="68477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C492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分页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3CA29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items、total、page、pageSize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582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课程、用户、通知和流程列表统一使用分页模型。</w:t>
            </w:r>
          </w:p>
        </w:tc>
      </w:tr>
      <w:tr w14:paraId="316A9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46CBF5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错误处理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37008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ApiError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E21F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网络错误、HTTP错误和业务错误统一转换。</w:t>
            </w:r>
          </w:p>
        </w:tc>
      </w:tr>
    </w:tbl>
    <w:p w14:paraId="00177834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8.2 主要接口分组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 w14:paraId="634A7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7E7E7"/>
          </w:tcPr>
          <w:p w14:paraId="2856E689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构件/包</w:t>
            </w:r>
          </w:p>
        </w:tc>
        <w:tc>
          <w:tcPr>
            <w:tcW w:w="2948" w:type="dxa"/>
            <w:shd w:val="clear" w:color="auto" w:fill="E7E7E7"/>
          </w:tcPr>
          <w:p w14:paraId="646BD6B2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主要文件或类</w:t>
            </w:r>
          </w:p>
        </w:tc>
        <w:tc>
          <w:tcPr>
            <w:tcW w:w="3515" w:type="dxa"/>
            <w:shd w:val="clear" w:color="auto" w:fill="E7E7E7"/>
          </w:tcPr>
          <w:p w14:paraId="32D57B2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职责说明</w:t>
            </w:r>
          </w:p>
        </w:tc>
      </w:tr>
      <w:tr w14:paraId="44AC4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51686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/api/auth/*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361F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认证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C51F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登录、当前用户、退出和修改密码。</w:t>
            </w:r>
          </w:p>
        </w:tc>
      </w:tr>
      <w:tr w14:paraId="595E5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49A7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/api/profile/*、/api/home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CF1899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个人与首页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3C524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资料查询修改和角色首页统计。</w:t>
            </w:r>
          </w:p>
        </w:tc>
      </w:tr>
      <w:tr w14:paraId="012C9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D8CD5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/api/departments、classes、semesters、classrooms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0A2AA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公共数据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E5756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院系、班级、学期、教室和空闲教室。</w:t>
            </w:r>
          </w:p>
        </w:tc>
      </w:tr>
      <w:tr w14:paraId="43530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12DE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/api/courses、enrollments、teaching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AF0A4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课程教学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A3F1A9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课程、排课、选课、退课、教师课程和学生名单。</w:t>
            </w:r>
          </w:p>
        </w:tc>
      </w:tr>
      <w:tr w14:paraId="4C07B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34A2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/api/bookings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EBCF41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教室预约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AE586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申请、详情、日志、待审、审批和取消。</w:t>
            </w:r>
          </w:p>
        </w:tc>
      </w:tr>
      <w:tr w14:paraId="533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CAF74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/api/leaves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6F6390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学生请假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88E5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申请、课程关联、相关请假、待审、审批和取消。</w:t>
            </w:r>
          </w:p>
        </w:tc>
      </w:tr>
      <w:tr w14:paraId="47594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ED08E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/api/schedule-changes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2043DF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教师调课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0657A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申请、冲突、待审、审批和取消。</w:t>
            </w:r>
          </w:p>
        </w:tc>
      </w:tr>
      <w:tr w14:paraId="63532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2C4827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/api/notifications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C3975B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通知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59BB7D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接收、已读、发布、管理和撤回。</w:t>
            </w:r>
          </w:p>
        </w:tc>
      </w:tr>
      <w:tr w14:paraId="4EDDC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BBD8F2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/api/admin/*</w:t>
            </w:r>
          </w:p>
        </w:tc>
        <w:tc>
          <w:tcPr>
            <w:tcW w:w="29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6A1BE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后台管理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2A30C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人员、基础数据、课程、排课和审批记录。</w:t>
            </w:r>
          </w:p>
        </w:tc>
      </w:tr>
    </w:tbl>
    <w:p w14:paraId="5E52611E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8.3 接口调用约束</w:t>
      </w:r>
    </w:p>
    <w:p w14:paraId="7A6ADB3C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页面只能导入 Api，不应直接导入 NetworkKit。</w:t>
      </w:r>
    </w:p>
    <w:p w14:paraId="2C3226F1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客户端角色只用于显示入口，不能替代服务端 roles_required 权限判断。</w:t>
      </w:r>
    </w:p>
    <w:p w14:paraId="3ED9F26C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表单提交前进行基础空值和格式检查，最终业务冲突以服务端响应为准。</w:t>
      </w:r>
    </w:p>
    <w:p w14:paraId="1243ADB5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写操作成功后页面重新加载对应列表，避免仅依赖本地修改造成状态不一致。</w:t>
      </w:r>
    </w:p>
    <w:p w14:paraId="2DE0226B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401 响应由 ApiClient 清理 SessionStore，并通过 UnauthorizedHandler 通知 Index 返回登录状态。</w:t>
      </w:r>
    </w:p>
    <w:p w14:paraId="3490E313">
      <w:pPr>
        <w:spacing w:before="0" w:after="40" w:line="324" w:lineRule="auto"/>
        <w:ind w:left="340" w:hanging="198"/>
        <w:jc w:val="both"/>
      </w:pPr>
      <w:r>
        <w:rPr>
          <w:rFonts w:ascii="Times New Roman" w:hAnsi="Times New Roman" w:eastAsia="宋体"/>
          <w:b/>
          <w:sz w:val="23"/>
        </w:rPr>
        <w:t xml:space="preserve">• </w:t>
      </w:r>
      <w:r>
        <w:rPr>
          <w:rFonts w:ascii="Times New Roman" w:hAnsi="Times New Roman" w:eastAsia="宋体"/>
          <w:b w:val="0"/>
          <w:sz w:val="23"/>
        </w:rPr>
        <w:t>调试阶段不得在日志中输出密码、完整 Token 或 Authorization 请求头。</w:t>
      </w:r>
    </w:p>
    <w:p w14:paraId="6258E565">
      <w:pPr>
        <w:pStyle w:val="4"/>
        <w:keepNext/>
        <w:spacing w:before="120" w:after="12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8"/>
        </w:rPr>
        <w:t>8.4 统一接口示例</w:t>
      </w:r>
    </w:p>
    <w:p w14:paraId="17E35DA3">
      <w:pPr>
        <w:shd w:val="clear" w:fill="F2F2F2"/>
        <w:spacing w:before="60" w:after="100" w:line="276" w:lineRule="auto"/>
        <w:ind w:left="397" w:right="227"/>
      </w:pPr>
      <w:r>
        <w:rPr>
          <w:rFonts w:ascii="Consolas" w:hAnsi="Consolas" w:eastAsia="等线"/>
          <w:b w:val="0"/>
          <w:sz w:val="19"/>
        </w:rPr>
        <w:t>// HarmonyOS页面</w:t>
      </w:r>
      <w:r>
        <w:br w:type="textWrapping"/>
      </w:r>
      <w:r>
        <w:rPr>
          <w:rFonts w:ascii="Consolas" w:hAnsi="Consolas" w:eastAsia="等线"/>
          <w:b w:val="0"/>
          <w:sz w:val="19"/>
        </w:rPr>
        <w:t>const page = await Api.course.getCourses({ page: 1, pageSize: 20 })</w:t>
      </w:r>
      <w:r>
        <w:br w:type="textWrapping"/>
      </w:r>
      <w:r>
        <w:rPr>
          <w:rFonts w:ascii="Consolas" w:hAnsi="Consolas" w:eastAsia="等线"/>
          <w:b w:val="0"/>
          <w:sz w:val="19"/>
        </w:rPr>
        <w:t>await Api.booking.create(request)</w:t>
      </w:r>
      <w:r>
        <w:br w:type="textWrapping"/>
      </w:r>
      <w:r>
        <w:br w:type="textWrapping"/>
      </w:r>
      <w:r>
        <w:rPr>
          <w:rFonts w:ascii="Consolas" w:hAnsi="Consolas" w:eastAsia="等线"/>
          <w:b w:val="0"/>
          <w:sz w:val="19"/>
        </w:rPr>
        <w:t>// Flask统一响应</w:t>
      </w:r>
      <w:r>
        <w:br w:type="textWrapping"/>
      </w:r>
      <w:r>
        <w:rPr>
          <w:rFonts w:ascii="Consolas" w:hAnsi="Consolas" w:eastAsia="等线"/>
          <w:b w:val="0"/>
          <w:sz w:val="19"/>
        </w:rPr>
        <w:t>{</w:t>
      </w:r>
      <w:r>
        <w:br w:type="textWrapping"/>
      </w:r>
      <w:r>
        <w:rPr>
          <w:rFonts w:ascii="Consolas" w:hAnsi="Consolas" w:eastAsia="等线"/>
          <w:b w:val="0"/>
          <w:sz w:val="19"/>
        </w:rPr>
        <w:t xml:space="preserve">  "code": 0,</w:t>
      </w:r>
      <w:r>
        <w:br w:type="textWrapping"/>
      </w:r>
      <w:r>
        <w:rPr>
          <w:rFonts w:ascii="Consolas" w:hAnsi="Consolas" w:eastAsia="等线"/>
          <w:b w:val="0"/>
          <w:sz w:val="19"/>
        </w:rPr>
        <w:t xml:space="preserve">  "message": "success",</w:t>
      </w:r>
      <w:r>
        <w:br w:type="textWrapping"/>
      </w:r>
      <w:r>
        <w:rPr>
          <w:rFonts w:ascii="Consolas" w:hAnsi="Consolas" w:eastAsia="等线"/>
          <w:b w:val="0"/>
          <w:sz w:val="19"/>
        </w:rPr>
        <w:t xml:space="preserve">  "data": {}</w:t>
      </w:r>
      <w:r>
        <w:br w:type="textWrapping"/>
      </w:r>
      <w:r>
        <w:rPr>
          <w:rFonts w:ascii="Consolas" w:hAnsi="Consolas" w:eastAsia="等线"/>
          <w:b w:val="0"/>
          <w:sz w:val="19"/>
        </w:rPr>
        <w:t>}</w:t>
      </w:r>
    </w:p>
    <w:p w14:paraId="2B93CCF7"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3"/>
        </w:rPr>
        <w:t>以上构架以当前初版项目已经跑通的主流程为基线。后续增加新页面或新接口时，应保持“页面—业务 API 模块—ApiClient—Flask Blueprint—数据访问”的依赖方向，不应绕过统一接口层直接访问下层构件。</w:t>
      </w:r>
    </w:p>
    <w:sectPr>
      <w:headerReference r:id="rId9" w:type="default"/>
      <w:footerReference r:id="rId10" w:type="default"/>
      <w:pgSz w:w="11906" w:h="16838"/>
      <w:pgMar w:top="1247" w:right="1701" w:bottom="1247" w:left="1701" w:header="624" w:footer="624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2EABB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DA765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449A3">
    <w:pPr>
      <w:pStyle w:val="25"/>
      <w:tabs>
        <w:tab w:val="center" w:pos="4320"/>
        <w:tab w:val="right" w:pos="8640"/>
        <w:tab w:val="clear" w:pos="4680"/>
        <w:tab w:val="clear" w:pos="9360"/>
      </w:tabs>
      <w:rPr>
        <w:rFonts w:hint="eastAsia" w:ascii="宋体" w:hAnsi="宋体" w:eastAsia="宋体"/>
        <w:sz w:val="18"/>
        <w:szCs w:val="18"/>
      </w:rPr>
    </w:pPr>
    <w:r>
      <w:rPr>
        <w:rFonts w:ascii="宋体" w:hAnsi="宋体" w:eastAsia="宋体"/>
        <w:sz w:val="18"/>
        <w:szCs w:val="18"/>
      </w:rPr>
      <w:t>Add</w:t>
    </w:r>
    <w:r>
      <w:rPr>
        <w:rFonts w:hint="eastAsia" w:ascii="宋体" w:hAnsi="宋体" w:eastAsia="宋体"/>
        <w:sz w:val="18"/>
        <w:szCs w:val="18"/>
      </w:rPr>
      <w:t>：成都市郫都区德源镇大禹东路66号创新创业5区3栋 Tel: 028-84628209</w:t>
    </w:r>
    <w:r>
      <w:rPr>
        <w:rFonts w:ascii="宋体" w:hAnsi="宋体" w:eastAsia="宋体"/>
        <w:sz w:val="18"/>
        <w:szCs w:val="18"/>
      </w:rPr>
      <w:t xml:space="preserve">    </w:t>
    </w:r>
    <w:r>
      <w:rPr>
        <w:rFonts w:hint="eastAsia" w:ascii="宋体" w:hAnsi="宋体" w:eastAsia="宋体"/>
        <w:sz w:val="18"/>
        <w:szCs w:val="18"/>
      </w:rPr>
      <w:t>第</w:t>
    </w:r>
    <w:r>
      <w:rPr>
        <w:rStyle w:val="135"/>
        <w:rFonts w:ascii="宋体" w:hAnsi="宋体" w:eastAsia="宋体"/>
        <w:sz w:val="18"/>
        <w:szCs w:val="18"/>
      </w:rPr>
      <w:fldChar w:fldCharType="begin"/>
    </w:r>
    <w:r>
      <w:rPr>
        <w:rStyle w:val="135"/>
        <w:rFonts w:ascii="宋体" w:hAnsi="宋体" w:eastAsia="宋体"/>
        <w:sz w:val="18"/>
        <w:szCs w:val="18"/>
      </w:rPr>
      <w:instrText xml:space="preserve"> PAGE </w:instrText>
    </w:r>
    <w:r>
      <w:rPr>
        <w:rStyle w:val="135"/>
        <w:rFonts w:ascii="宋体" w:hAnsi="宋体" w:eastAsia="宋体"/>
        <w:sz w:val="18"/>
        <w:szCs w:val="18"/>
      </w:rPr>
      <w:fldChar w:fldCharType="separate"/>
    </w:r>
    <w:r>
      <w:rPr>
        <w:rStyle w:val="135"/>
        <w:rFonts w:ascii="宋体" w:hAnsi="宋体" w:eastAsia="宋体"/>
        <w:sz w:val="18"/>
        <w:szCs w:val="18"/>
      </w:rPr>
      <w:t>10</w:t>
    </w:r>
    <w:r>
      <w:rPr>
        <w:rStyle w:val="135"/>
        <w:rFonts w:ascii="宋体" w:hAnsi="宋体" w:eastAsia="宋体"/>
        <w:sz w:val="18"/>
        <w:szCs w:val="18"/>
      </w:rPr>
      <w:fldChar w:fldCharType="end"/>
    </w:r>
    <w:r>
      <w:rPr>
        <w:rFonts w:hint="eastAsia" w:ascii="宋体" w:hAnsi="宋体" w:eastAsia="宋体"/>
        <w:sz w:val="18"/>
        <w:szCs w:val="18"/>
      </w:rPr>
      <w:t>页</w:t>
    </w:r>
    <w:r>
      <w:rPr>
        <w:rFonts w:ascii="宋体" w:hAnsi="宋体" w:eastAsia="宋体"/>
        <w:sz w:val="18"/>
        <w:szCs w:val="18"/>
      </w:rPr>
      <w:t xml:space="preserve"> </w:t>
    </w:r>
    <w:r>
      <w:rPr>
        <w:rFonts w:hint="eastAsia" w:ascii="宋体" w:hAnsi="宋体" w:eastAsia="宋体"/>
        <w:sz w:val="18"/>
        <w:szCs w:val="18"/>
      </w:rPr>
      <w:t>共</w:t>
    </w:r>
    <w:r>
      <w:rPr>
        <w:rFonts w:hint="eastAsia" w:ascii="宋体" w:hAnsi="宋体"/>
        <w:sz w:val="18"/>
        <w:szCs w:val="18"/>
        <w:lang w:val="en-US" w:eastAsia="zh-CN"/>
      </w:rPr>
      <w:t>22</w:t>
    </w:r>
    <w:r>
      <w:rPr>
        <w:rFonts w:hint="eastAsia" w:ascii="宋体" w:hAnsi="宋体" w:eastAsia="宋体"/>
        <w:sz w:val="18"/>
        <w:szCs w:val="18"/>
      </w:rPr>
      <w:t>页</w:t>
    </w:r>
  </w:p>
  <w:p w14:paraId="4710E90E">
    <w:pPr>
      <w:pStyle w:val="2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3D4B3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41C17">
    <w:pPr>
      <w:pStyle w:val="2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CB267">
    <w:pPr>
      <w:pStyle w:val="26"/>
      <w:tabs>
        <w:tab w:val="center" w:pos="4320"/>
        <w:tab w:val="right" w:pos="8640"/>
        <w:tab w:val="clear" w:pos="4680"/>
        <w:tab w:val="clear" w:pos="9360"/>
      </w:tabs>
      <w:rPr>
        <w:rFonts w:hint="eastAsia"/>
      </w:rPr>
    </w:pPr>
    <w:r>
      <w:fldChar w:fldCharType="begin"/>
    </w:r>
    <w:r>
      <w:instrText xml:space="preserve"> TITLE  \* MERGEFORMAT </w:instrText>
    </w:r>
    <w:r>
      <w:fldChar w:fldCharType="separate"/>
    </w:r>
    <w:r>
      <w:t>Software Architecture Document</w:t>
    </w:r>
    <w:r>
      <w:fldChar w:fldCharType="end"/>
    </w:r>
  </w:p>
  <w:p w14:paraId="3B814CD3">
    <w:pPr>
      <w:pStyle w:val="26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5E4919"/>
    <w:rsid w:val="1AEE0D5E"/>
    <w:rsid w:val="22697143"/>
    <w:rsid w:val="23BE0482"/>
    <w:rsid w:val="262B7378"/>
    <w:rsid w:val="2BB4773B"/>
    <w:rsid w:val="31F03355"/>
    <w:rsid w:val="3B9D79CE"/>
    <w:rsid w:val="474E7F19"/>
    <w:rsid w:val="4AFB201B"/>
    <w:rsid w:val="55F80743"/>
    <w:rsid w:val="683F21F2"/>
    <w:rsid w:val="6CDE028F"/>
    <w:rsid w:val="745F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5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Normal Indent"/>
    <w:basedOn w:val="1"/>
    <w:semiHidden/>
    <w:qFormat/>
    <w:uiPriority w:val="0"/>
    <w:pPr>
      <w:ind w:left="900" w:hanging="900"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page number"/>
    <w:semiHidden/>
    <w:uiPriority w:val="0"/>
    <w:rPr>
      <w:rFonts w:eastAsia="Arial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Table Row"/>
    <w:basedOn w:val="1"/>
    <w:qFormat/>
    <w:uiPriority w:val="0"/>
    <w:pPr>
      <w:spacing w:before="60" w:after="60" w:line="240" w:lineRule="atLeast"/>
      <w:jc w:val="left"/>
    </w:pPr>
    <w:rPr>
      <w:rFonts w:ascii="Arial" w:hAnsi="Arial"/>
      <w:b/>
      <w:snapToGrid w:val="0"/>
      <w:kern w:val="0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6786</Words>
  <Characters>11987</Characters>
  <Lines>0</Lines>
  <Paragraphs>0</Paragraphs>
  <TotalTime>0</TotalTime>
  <ScaleCrop>false</ScaleCrop>
  <LinksUpToDate>false</LinksUpToDate>
  <CharactersWithSpaces>12783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依据教学过程管理系统当前GitHub仓库结构编写。</dc:description>
  <cp:lastModifiedBy>赵丛垒</cp:lastModifiedBy>
  <dcterms:modified xsi:type="dcterms:W3CDTF">2026-07-14T07:38:17Z</dcterms:modified>
  <dc:subject>软件系统构架设计说明书</dc:subject>
  <dc:title>教学过程管理系统软件系统构架设计说明书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eyJoZGlkIjoiNjg0MjMxYjNjOGYxOTFhMDgyZjUyYzhiNDEyZjBlYmIiLCJ1c2VySWQiOiIxODU3MDQwMjY2In0=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09AB352DCB03435F9600EE143C41098F_12</vt:lpwstr>
  </property>
</Properties>
</file>