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0AEA3">
      <w:pPr>
        <w:pStyle w:val="2"/>
        <w:bidi w:val="0"/>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宏观</w:t>
      </w:r>
    </w:p>
    <w:p w14:paraId="2CF58DD0">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国家市场监督管理总局局长罗文：针对部分领域出现的“内卷式”竞争问题 市场监管部门将加强反垄断和反不正当竞争执法</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国家市场监督管理总局党组书记、局长罗文接受访谈表示，针对部分领域出现的“内卷式”竞争问题，市场监管部门将围绕维护良性竞争市场秩序，加强反垄断和反不正当竞争执法，坚决纠治利用市场优势地位挤压其他经营主体发展空间等行为，优化经营者集中反垄断审查规则，更好引导和规范投资并购行为；加强对企业过度低价竞争的合规引导和监管规范，深入治理假冒伪劣、虚假宣传、低价倾销、违法广告等突出问题，推动形成优质优价、良性竞争的良好格局。</w:t>
      </w:r>
    </w:p>
    <w:p w14:paraId="73688A7C">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国家市场监督管理总局局长罗文：推动经营异常企业有序退出市场 切实增强市场活力</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国家市场监督管理总局党组书记、局长罗文接受访谈表示，针对部分领域市场准入质量不高和企业注销难、清算难、迁移难等问题，市场监管部门将围绕统一市场基础制度规则，深化注册资本认缴登记制度改革，探索和完善经营主体强制退出和另册管理制度，进一步统一经营主体登记管理制度，同步完善社会信用和事中事后监管制度，统筹促进经营主体量的增长和质的提升，推动经营异常企业有序退出市场，切实增强市场活力。</w:t>
      </w:r>
    </w:p>
    <w:p w14:paraId="35BAC963">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金融监管总局近期将发布新修订的《商业银行并购贷款管理办法》</w:t>
      </w: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11月13日，在第十六届财新峰会上，金融监管总局法规司司长王胜邦透露，近期金融监管总局将发布新修订的《商业银行并购贷款管理办法》，助力包括科创企业在内的各类企业的兼并重组和转型升级。同时，王胜邦表示，金融监管总局也正在与其他部门通力合作，研究促进科技保险高质量发展的政策，为科创活动提供更加健全的经济保障。</w:t>
      </w:r>
    </w:p>
    <w:p w14:paraId="4A6BB0F0">
      <w:pPr>
        <w:pStyle w:val="2"/>
        <w:bidi w:val="0"/>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市场</w:t>
      </w:r>
    </w:p>
    <w:p w14:paraId="740E4630">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【金融】11月12日收盘，沪指报4029.50点，涨0.73%；深成指报13476.52点，涨1.78%；创业板指报3201.75点，涨2.55%。</w:t>
      </w:r>
    </w:p>
    <w:p w14:paraId="105596A2">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【金融】截止至11月12日，两市融资余额合计24762.41亿元，较前一交易日减少30.24亿元。上交所融资余额报12608.74亿元，较前一交易日减少23.23亿元；深交所融资余额报12153.67亿元，较前一交易日增加7.01亿元。</w:t>
      </w:r>
    </w:p>
    <w:p w14:paraId="6EC1C033">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【金融】</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央行：前十个月人民币贷款增加14.97万亿元</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央行数据显示，10月末，本外币贷款余额274.54万亿元，同比增长6.3%。月末人民币贷款余额270.61万亿元，同比增长6.5%。前十个月人民币贷款增加14.97万亿元。分部门看，住户贷款增加7396亿元，其中，短期贷款减少5170亿元，中长期贷款增加1.26万亿元；企（事）业单位贷款增加13.79万亿元，其中，短期贷款增加4.34万亿元，中长期贷款增加8.32万亿元，票据融资增加9758亿元；非银行业金融机构贷款减少185亿元。10月末，外币贷款余额5546亿美元，同比下降3%。前十个月外币贷款增加125亿美元。</w:t>
      </w:r>
    </w:p>
    <w:p w14:paraId="706BAC86">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t>金融</w:t>
      </w: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央行：前十个月人民币存款增加23.32万亿元</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据央行数据，10月末，本外币存款余额332.92万亿元，同比增长8.3%。月末人民币存款余额325.55万亿元，同比增长8%。前十个月人民币存款增加23.32万亿元。其中，住户存款增加11.39万亿元，非金融企业存款增加4447亿元，财政性存款增加2.09万亿元，非银行业金融机构存款增加6.66万亿元。10月末，外币存款余额1.04万亿美元，同比增长24.3%。前十个月外币存款增加1866亿美元。</w:t>
      </w:r>
    </w:p>
    <w:p w14:paraId="5E15C2D4">
      <w:pP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t>金融</w:t>
      </w: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央行：10月末广义货币同比增长8.2%</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央行数据显示，10月末，广义货币(M2)余额335.13万亿元，同比增长8.2%。狭义货币(M1)余额112万亿元，同比增长6.2%。流通中货币(M0)余额13.55万亿元，同比增长10.6%。前十个月净投放现金7284亿元。</w:t>
      </w:r>
    </w:p>
    <w:p w14:paraId="37411231">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【金融】</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人民银行上海总部：10月上海地区非银存款增加2677亿元 同比多增954亿元</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11月13日，人民银行上海总部发布2025年10月份上海货币信贷运行情况，数据显示，10月份，上海地区人民币贷款增加178亿元，人民币存款增加2366亿元。具体来看，贷款方面，10月份，人民币贷款增加178亿元，同比多增159亿元。分部门看，住户部门贷款增加1亿元，企（事）业单位贷款减少73亿元，非银行业金融机构贷款增加72亿元。外币贷款增加25亿美元，同比多增26亿美元。存款方面，10月份，人民币存款增加2366亿元，同比多增1450亿元。其中，住户存款减少1158亿元，同比多减1119亿元；非金融企业存款减少192亿元，同比少减309亿元；财政性存款增加384亿元，同比多增209亿元；非银行业金融机构存款增加2677亿元，同比多增954亿元。外币存款增加12亿美元，同比多增39亿美元。</w:t>
      </w:r>
    </w:p>
    <w:p w14:paraId="0EE8F602">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val="en-US" w:eastAsia="zh-CN"/>
          <w14:textFill>
            <w14:solidFill>
              <w14:schemeClr w14:val="tx1"/>
            </w14:solidFill>
          </w14:textFill>
        </w:rPr>
        <w:t>6G</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我国完成第一阶段6G技术试验</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记者从工业和信息化部了解到，我国已连续四年组织开展6G技术试验，目前已完成第一阶段6G技术试验，形成超过300项关键技术储备。</w:t>
      </w:r>
    </w:p>
    <w:p w14:paraId="15674408">
      <w:pP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val="en-US" w:eastAsia="zh-CN"/>
          <w14:textFill>
            <w14:solidFill>
              <w14:schemeClr w14:val="tx1"/>
            </w14:solidFill>
          </w14:textFill>
        </w:rPr>
        <w:t>能源</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国家能源局：鼓励符合条件的社会资本参与油气储备库、液化天然气接收站等投资建设</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国家能源局有关负责同志就《石油天然气基础设施规划建设与运营管理办法》答记者问。《管理办法》指出，理顺油气管网基础设施投资建设机制。国家管网集团按照规划承担油气干线管网建设主体责任和社会管网联通责任，支持各类社会资本按照市场化原则参股项目。允许国有大型油气企业和各类社会资本按照政府统一规划投资建设非干线等管网设施。鼓励符合条件的社会资本参与油气储备库、液化天然气接收站等投资建设。</w:t>
      </w:r>
    </w:p>
    <w:p w14:paraId="6323D790">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【能源】</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世界首台650℃高效超超临界燃煤锅炉正式进入全面建设阶段</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记者今天了解到，世界首台650℃高效超超临界燃煤发电锅炉近日在华能玉环电厂完成首方混凝土浇筑，进入全面建设阶段。该锅炉是我国特种设备安全沙盒监管制度实施以来，首例经市场监管总局批准进入沙盒试验的设备。该锅炉在全球范围内首次将燃煤火电机组蒸汽温度提升至世界最高的650℃，采用我国自主研发的全系列高温合金新材料，突破高温合金“卡脖子”难题，实现了关键高温材料技术的完全自主可控，是我国在耐高温新材料、煤电清洁高效利用新技术领域的重大突破。该锅炉建成后，将刷新世界火电机组最高运行参数和最低煤耗记录，大幅提升煤电清洁高效利用水平，为我国早日实现“双碳”目标提供重要技术支撑。</w:t>
      </w:r>
    </w:p>
    <w:p w14:paraId="67FCC03E">
      <w:pP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pP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t>小金属</w:t>
      </w: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商务部：中方依法依规开展稀土相关物项出口管制工作</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商务部召开例行新闻发布会。有记者提问，近日获悉，中国已开始设计新的稀土出口许可制度，有望加快出口流程。请问能否介绍一下目前的进展，计划何时推出，以及哪些主体将有资格获得许可？商务部新闻发言人何亚东表示，中方依法依规开展稀土相关物项出口管制工作。作为负责任大国，中国既致力于维护国家安全和利益，履行防扩散等国际义务，又致力于维护全球产供链安全稳定。</w:t>
      </w:r>
    </w:p>
    <w:p w14:paraId="4E209A7B">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t>消费电子</w:t>
      </w: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机构：三季度全球智能手机面板总出货量达5.8亿片 同比增长约5.2%</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群智咨询发文称，2025年第三季度，全球智能手机市场进入高端机型密集发布周期，终端品牌备货需求释放带动面板市场呈现显著季度性增长态势。数据显示，第三季度全球智能手机面板总出货量达5.8亿片(Open Cell 口径)，同比增长约 5.2%，环比明显回升。</w:t>
      </w:r>
    </w:p>
    <w:p w14:paraId="3D265319">
      <w:pP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t>量子</w:t>
      </w:r>
      <w:r>
        <w:rPr>
          <w:rFonts w:hint="eastAsia" w:ascii="微软雅黑" w:hAnsi="微软雅黑" w:eastAsia="微软雅黑" w:cs="微软雅黑"/>
          <w:b w:val="0"/>
          <w:bCs/>
          <w:i w:val="0"/>
          <w:iCs w:val="0"/>
          <w:caps w:val="0"/>
          <w:color w:val="000000" w:themeColor="text1"/>
          <w:spacing w:val="0"/>
          <w:sz w:val="21"/>
          <w:szCs w:val="21"/>
          <w:shd w:val="clear" w:fill="FFFFFF"/>
          <w:lang w:eastAsia="zh-CN"/>
          <w14:textFill>
            <w14:solidFill>
              <w14:schemeClr w14:val="tx1"/>
            </w14:solidFill>
          </w14:textFill>
        </w:rPr>
        <w:t>】</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超导量子计算机“天衍-287”搭建完成】</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科创板日报》13日讯，《科创板日报》记者从中国电信量子研究院获悉，搭载“祖冲之三号”同款芯片的超导量子计算机“天衍-287”已完成搭建。该量子计算系统具备“量子计算优越性”能力，处理特定问题的速度比目前最快的超级计算机快4.5亿倍，未来将接入“天衍”量子计算云平台并首次面向全球开放应用服务，这也将是我国首个具备“量子计算优越性”的量子计算云平台。此次即将上线的超导量子计算机拥有105个数据比特和182个耦合比特，由中电信量子集团与国盾量子联合团队搭建和调测完成。</w:t>
      </w:r>
    </w:p>
    <w:p w14:paraId="71099CA2">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【外贸】</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商务部：将进一步丰富上海国际贸易中心功能和内涵</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商务部发言人何亚东13日在商务部例行新闻发布会上表示，下一步，商务部将会同相关部门，支持上海更好统筹货物贸易、服务贸易、数字贸易三大支柱，聚焦创新、协调、安全、规则四个方面，进一步丰富上海国际贸易中心功能和内涵，协同推进贸易中心与经济、科创、金融、航运中心建设，推动上海国际贸易中心提质升级取得新成效。何亚东介绍，今年前10个月，上海市实现进出口3.7万亿元，增长5.2%，其中出口1.6万亿元，增长10.5%。上海港集装箱的吞吐量已经连续15年位居全球第一。今年前9个月，上海市服务进出口额1.8万亿元，同比增长5%。可数字化交付服务进出口额6986.3亿元，同比增长6.4%。</w:t>
      </w:r>
    </w:p>
    <w:p w14:paraId="6044C2A5">
      <w:pPr>
        <w:pStyle w:val="2"/>
        <w:bidi w:val="0"/>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公司</w:t>
      </w:r>
    </w:p>
    <w:p w14:paraId="3266D971">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吉电股份：全资子公司拟投资56.98亿元建设白城二期2×66万千瓦保供煤电项目</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吉电股份(000875.SZ)公告称，公司全资子公司白城吉电瀚海发电有限公司拟投资建设白城二期2×66万千瓦保供煤电项目。项目计划总投资56.98亿元，建设工期预计26个月。项目资本金内部收益率8.32%，全投资内部收益率（税后）4.69%。项目拟建设2×66万千瓦级超超临界、一次再热、凝汽式湿冷燃褐煤发电机组，机组具备供热（蒸汽）能力，配套烟气脱硫、脱硝和高效除尘设施，预留CCUS装置和液氨掺烧建设条件。同步建设智慧电厂及燃料智能化系统。本项目是国家及吉林省双重重点保供煤电项目，已纳入国家“十四五”规划，符合国家能源战略，具备重要战略价值与现实意义。</w:t>
      </w:r>
      <w:bookmarkStart w:id="0" w:name="_GoBack"/>
      <w:bookmarkEnd w:id="0"/>
    </w:p>
    <w:p w14:paraId="18B32E1F">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利德曼：拟17.33亿元购买先声祥瑞70%股份 快速切入生物制品行业</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利德曼(300289.SZ)披露重大资产购买报告书（草案），公司拟以支付现金的方式向上海百家汇投资管理有限公司、南京百佳瑞企业管理咨询合伙企业(有限合伙)、海南先声百家汇科技发展有限公司购买其所持有的先声祥瑞70%股份，交易价格为17.33亿元。根据《上市公司重大资产重组管理办法》的规定，本次交易构成重大资产重组。标的公司主要从事生物制品（体内诊断试剂、疫苗）及体外诊断试剂的研发、生产和销售，目前核心销售产品为TB-PPD、BCG-PPD、IGRA，均聚焦结核筛查与诊断领域。另一方面，先声祥瑞是我国为数不多的疫苗生产许可证持证企业之一，聚焦尚未满足临床需求的人用创新疫苗。先声祥瑞应用于脑膜炎领域的Xs03项目已提交pre-IND，还有多个创新项目处于临床前阶段。公司通过收购标的公司控股权，能够快速切入行业壁垒高、市场前景更为广阔的生物制品行业。</w:t>
      </w:r>
    </w:p>
    <w:p w14:paraId="5E5F18EC">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海格通信：全资子公司拟增资扩股引入战略投资者且增资金额不超过8亿元 加大无人和低空经济业务投入</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海格通信(002465.SZ)公告称，公司全资子公司广州海格天腾产业发展有限公司（简称“天腾产业”）拟通过公开挂牌方式，增资扩股引入战略投资者，此次增资金额不超过8亿元，增资完成后，引入投资者持有天腾产业的股权比例不超过43.44%。交易完成后，公司仍为天腾产业的控股股东。天腾产业是公司天腾信息产业基地的建设主体，天腾产业此次增资扩股引入战略投资者，有利于加快产业基地建设，抓住市场机会，加大无人和低空经济业务投入，完善产业链生态。</w:t>
      </w:r>
    </w:p>
    <w:p w14:paraId="35A39D11">
      <w:pP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佛塑科技：拟与紫金矿业下属子公司紫金锂元等合资设立项目公司 投资建设电池级硫化锂中试平台项目</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佛塑科技(000973.SZ)公告称，公司拟与紫金矿业下属子公司紫金锂元、厦门紫金及广新研究院共同出资设立项目公司，投资建设电池级硫化锂中试平台项目。项目公司注册资本1亿元，佛塑科技出资500万元，股权比例为5%。项目计划投资总额为1.13亿元，建设100吨/年硫化锂生产线，主要研发、生产、经营高纯度电池级硫化锂产品。该投资构成关联交易，不会对公司未来财务状况和经营成果产生较大影响。</w:t>
      </w:r>
    </w:p>
    <w:p w14:paraId="339432BC">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剑桥科技：1.6T光模块产品测试数据与行业头部企业水平基本相当 部分产品已进入小批量供货阶段</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剑桥科技(603083.SH)在业绩说明会上表示，公司1.6T光模块产品测试数据与行业头部企业水平基本相当，目前部分产品已进入小批量供货阶段，预计至2026年一季度可实现大量发货。公司1.6T光模块的研发与量产推进情况，是基于自身技术储备及市场需求做出的安排，相关进度请以公司在指定信息披露平台发布的公告为准。客户合作上，公司通过JDM模式深度绑定核心客户，并通过合作确保供应链稳定，800G和1.6T光模块的需求旺盛，同时正推进与多个新客户的产品验证。产能方面，公司持续扩产，嘉善及马来西亚工厂产能逐步释放，并推动墨西哥生产基地的产能建设，年化产能目标后续还将根据客户需求调整提升。</w:t>
      </w:r>
    </w:p>
    <w:p w14:paraId="3A182C2C">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比亚迪：截至2025年10月公司新能源汽车动力电池及储能电池装机总量超230GWh 同比提升超55%</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比亚迪在互动平台表示，截至2025年10月，公司新能源汽车动力电池及储能电池装机总量超230GWh，同比提升超55%。储能技术方面，9月，公司面向全球发布新一代储能产品“浩瀚”。“浩瀚”搭载2710Ah全球最大储能专用刀片电池，较行业常规储能电池提升300%以上。</w:t>
      </w:r>
    </w:p>
    <w:p w14:paraId="314038FA">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天奇股份：合资公司预计将在2026年一季度建成机器人产线并逐步形成产能</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天奇股份(002009.SZ)发布投资者关系活动记录表，公司与银河通用的合作通过合资公司天奇银河开展。机器人本体研发制造为合资公司主要业务之一，目前合资公司预计将在2026年一季度建成机器人产线并逐步形成产能。</w:t>
      </w:r>
    </w:p>
    <w:p w14:paraId="031026DE">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阿特斯：控股股东CSIQ预计2025年第四季度总收入13亿至15亿美元 储能系统出货量在2.1至2.3吉瓦时之间】</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科创板日报》13日讯，阿特斯(688472.SH)公告称，公司控股股东CSIQ预计2025年第四季度总收入在13亿至15亿美元（折合人民币约92.4亿至106.7亿元）之间，毛利率预计在14%至16%之间，预计组件出货量在4.6至4.8吉瓦之间，预计储能系统出货量在2.1至2.3吉瓦时之间。CSIQ预计2026年全年组件出货量在25至30吉瓦之间，储能系统出货量在14至17吉瓦时之间。截至2025年10月31日，CSIQ旗下阿特斯储能科技(e-STORAGE)已签署合同的在手订单（包括签约长期服务协议）金额31亿美元（折合人民币约220.4亿元）。</w:t>
      </w:r>
    </w:p>
    <w:p w14:paraId="5861AC16">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p>
    <w:p w14:paraId="700A014B">
      <w:pP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中芯国际：四季度收入指引为环比持平到增长2% 毛利率指引为18%到20%</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中芯国际在港交所发布公告，三季度，公司整体实现销售收入23.82亿美元，环比增长7.8%；公司毛利率为22.0%，环比上升1.6个百分点；产能利用率上升至95.8%，环比增长3.3个百分点。 根据未经审核财务资料，公司前三个季度收入为68.38亿美元，较去年同期增长17.4%; 毛利率为21.6%，较去年同期增长5.3个百分点。四季度，公司收入指引为环比持平到增长2%，毛利率指引为18%到20%。</w:t>
      </w:r>
    </w:p>
    <w:p w14:paraId="62D417C2">
      <w:pPr>
        <w:rPr>
          <w:rFonts w:hint="eastAsia" w:ascii="微软雅黑" w:hAnsi="微软雅黑" w:eastAsia="微软雅黑" w:cs="微软雅黑"/>
          <w:b w:val="0"/>
          <w:bCs/>
          <w:i w:val="0"/>
          <w:iCs w:val="0"/>
          <w:caps w:val="0"/>
          <w:color w:val="000000" w:themeColor="text1"/>
          <w:spacing w:val="0"/>
          <w:sz w:val="21"/>
          <w:szCs w:val="21"/>
          <w:shd w:val="clear" w:fill="FFFFFF"/>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哔哩哔哩：第三季度经调整净利润为7.86亿元 同比增长233%</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哔哩哔哩公告，2025年第三季度净营业额总额为人民币76.9亿元，同比增长5%。其中，广告营业额为人民币25.7亿元，同比增长23%。毛利润为人民币28.2亿元，同比增长11%，毛利率达36.7%。净利润为人民币4.69亿元，去年同期净亏损人民币7980万元。经调整净利润为人民币7.86亿元，同比增长233%。经调整净利润率为10.2%，较2024年同期的3.2%有所增加。哔哩哔哩称，每项核心用户指标都在第三季度创下历史新高，DAU同比增长9%至1.17亿，月活跃用户增长8%至3.76亿，月付费用户也增长17%至3500万。</w:t>
      </w:r>
    </w:p>
    <w:p w14:paraId="418B1F21">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腾讯控股：第三季度营收1928.7亿元 同比增15%</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腾讯控股在港交所公告称，第三季度营收1928.7亿元，同比增15%，预估1888亿元，上年同期1671.93亿元；第三季度净利润631.3亿元，同比增长19%，预估558.8亿元。腾讯控股第三季的非国际财务报告准则本公司权益持有人应占盈利同比增长18%至人民币706亿元。</w:t>
      </w:r>
    </w:p>
    <w:p w14:paraId="4BDCFE3E">
      <w:pPr>
        <w:pStyle w:val="2"/>
        <w:bidi w:val="0"/>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t>国际</w:t>
      </w:r>
    </w:p>
    <w:p w14:paraId="6542576F">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证监会主席吴清访问法国、巴西金融监管部门并与国际机构投资者代表座谈</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当地时间2025年11月10日至13日，中国证监会主席吴清访问法国巴黎和巴西里约热内卢，并与法国金融市场监管局（AMF）主席巴贝特-拉亚尼女士（Marie-Anne Barbat-Layani）和巴西证监会（CVM）代理主席卢博（Otto Lobo）先生、委员科波拉（Marina Copola）女士分别举行双边会谈，就法国、欧盟、巴西证券市场监管动态、进一步深化拓展资本市场双边务实合作等议题交换了意见。在法、巴期间，吴清还与法国兴业银行、法国巴黎银行、英国巴克莱银行、瑞银集团、瑞士百达集团等国际机构投资者，以及在法、巴展业的中资企业和金融机构代表座谈，宣传解读中共二十届四中全会精神和中国资本市场投资机遇，听取国际机构投资者、中资企业对推进中国资本市场高水平开放的意见建议。</w:t>
      </w:r>
    </w:p>
    <w:p w14:paraId="01202226">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欧元区9月工业生产较上年同期上升1.2% 符合市场预期</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欧元区9月工业产出环比增长0.2%，预期0.7%。欧元区9月工业生产较上年同期上升1.2%，符合市场预期。</w:t>
      </w:r>
    </w:p>
    <w:p w14:paraId="25AD9382">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14:textFill>
            <w14:solidFill>
              <w14:schemeClr w14:val="tx1"/>
            </w14:solidFill>
          </w14:textFill>
        </w:rPr>
        <w:t>欧盟将成立信息监管新机构 并加大对数字平台调查力度</w:t>
      </w:r>
      <w:r>
        <w:rPr>
          <w:rStyle w:val="5"/>
          <w:rFonts w:hint="eastAsia" w:ascii="微软雅黑" w:hAnsi="微软雅黑" w:eastAsia="微软雅黑" w:cs="微软雅黑"/>
          <w:b w:val="0"/>
          <w:bCs/>
          <w:i w:val="0"/>
          <w:iCs w:val="0"/>
          <w:caps w:val="0"/>
          <w:color w:val="000000" w:themeColor="text1"/>
          <w:spacing w:val="0"/>
          <w:sz w:val="21"/>
          <w:szCs w:val="21"/>
          <w:bdr w:val="none" w:color="auto" w:sz="0" w:space="0"/>
          <w:shd w:val="clear" w:fill="FFFFFF"/>
          <w:vertAlign w:val="baseline"/>
          <w:lang w:eastAsia="zh-CN"/>
          <w14:textFill>
            <w14:solidFill>
              <w14:schemeClr w14:val="tx1"/>
            </w14:solidFill>
          </w14:textFill>
        </w:rPr>
        <w:t>。</w:t>
      </w:r>
      <w:r>
        <w:rPr>
          <w:rFonts w:hint="eastAsia" w:ascii="微软雅黑" w:hAnsi="微软雅黑" w:eastAsia="微软雅黑" w:cs="微软雅黑"/>
          <w:b w:val="0"/>
          <w:bCs/>
          <w:i w:val="0"/>
          <w:iCs w:val="0"/>
          <w:caps w:val="0"/>
          <w:color w:val="000000" w:themeColor="text1"/>
          <w:spacing w:val="0"/>
          <w:sz w:val="21"/>
          <w:szCs w:val="21"/>
          <w:shd w:val="clear" w:fill="FFFFFF"/>
          <w14:textFill>
            <w14:solidFill>
              <w14:schemeClr w14:val="tx1"/>
            </w14:solidFill>
          </w14:textFill>
        </w:rPr>
        <w:t>据央视新闻，当地时间12日，欧盟委员会宣布将成立一个信息监管的新机构，“负责侦测、阻止和应对虚假信息和操纵行为的威胁”。此外，欧盟还计划在《数字服务法》和《人工智能法》的框架下，加大对大型数字平台的调查力度。这些法规将强制要求平台对人工智能生成的内容和深度伪造内容进行标记或删除，特别是在欧洲选举活动期间将进一步加强监管。舆论认为，这是欧盟加强干预数字通信和社交网络传播内容的举措。</w:t>
      </w:r>
    </w:p>
    <w:p w14:paraId="114ACBC0">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p>
    <w:p w14:paraId="455C3378">
      <w:pPr>
        <w:rPr>
          <w:rFonts w:hint="eastAsia" w:ascii="微软雅黑" w:hAnsi="微软雅黑" w:eastAsia="微软雅黑" w:cs="微软雅黑"/>
          <w:b w:val="0"/>
          <w:bCs/>
          <w:color w:val="000000" w:themeColor="text1"/>
          <w:sz w:val="21"/>
          <w:szCs w:val="21"/>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822FB3"/>
    <w:rsid w:val="5C822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46</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2025-11-13T12:36:00Z</dcterms:created>
  <dc:creator>趁早受伤</dc:creator>
  <cp:lastModifiedBy>趁早受伤</cp:lastModifiedBy>
  <dcterms:modified xsi:type="dcterms:W3CDTF">2025-11-13T13:22:49Z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CEF422FA424242088D7065B8048A0033_11</vt:lpwstr>
  </property>
  <property fmtid="{D5CDD505-2E9C-101B-9397-08002B2CF9AE}" pid="4" name="KSOTemplateDocerSaveRecord">
    <vt:lpwstr>eyJoZGlkIjoiZjFmZWIzNDg2MmIzZjExOTIzMmViNTBmYTMwYTk0ZWYiLCJ1c2VySWQiOiIzNDMyODg2OTcifQ==</vt:lpwstr>
  </property>
</Properties>
</file>