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8DF59">
      <w:pPr>
        <w:pStyle w:val="2"/>
        <w:bidi w:val="0"/>
        <w:rPr>
          <w:rFonts w:hint="eastAsia"/>
          <w:lang w:val="en-US" w:eastAsia="zh-CN"/>
        </w:rPr>
      </w:pPr>
      <w:r>
        <w:rPr>
          <w:rFonts w:hint="eastAsia"/>
          <w:lang w:val="en-US" w:eastAsia="zh-CN"/>
        </w:rPr>
        <w:t>宏观</w:t>
      </w:r>
    </w:p>
    <w:p w14:paraId="3FB82B3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央经济工作会议：我国经济长期向好的支撑条件和基本趋势没有改变。中央经济工作会议12月10日至11日在北京举行。会议指出，我国经济发展中老问题、新挑战仍然不少，外部环境变化影响加深，国内供强需弱矛盾突出，重点领域风险隐患较多。这些大多是发展中、转型中的问题，经过努力是可以解决的，我国经济长期向好的支撑条件和基本趋势没有改变。要坚定信心、用好优势、应对挑战，不断巩固拓展经济稳中向好势头。</w:t>
      </w:r>
    </w:p>
    <w:p w14:paraId="240EA5E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央经济工作会议：增强居民和企业的获得感，推动经济运行和市场预期持续向好。中央经济工作会议12月10日至11日在北京举行。会议指出，要自觉把思想和行动统一到党中央对形势的科学判断上来，把握我国发展大势，坚定对未来发展的信心。要全面贯彻明年经济工作的总体要求和政策取向，坚持积极务实的目标导向，着力解决存在的困难问题，在质的有效提升上取得更大突破，增强居民和企业的获得感；增强改革与政策的协同效应，推动经济运行和市场预期持续向好。要在大局中把握明年经济工作的关键着力点，围绕做强国内大循环，拓展内需增长新空间；围绕发展新质生产力，推动科技创新和产业创新深度融合；围绕激发高质量发展的动力活力，坚定不移深化改革扩大开放；围绕不断增进民生福祉，加大保障和改善民生力度；围绕守牢安全底线，稳妥做好重点领域风险化解。</w:t>
      </w:r>
    </w:p>
    <w:p w14:paraId="4EA65B0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央经济工作会议：深入整治“内卷式”竞争，持续深化资本市场投融资综合改革。中央经济工作会议12月10日至11日在北京举行。会议确定，明年经济工作抓好以下重点任务。坚持改革攻坚，增强高质量发展动力活力。制定全国统一大市场建设条例，深入整治“内卷式”竞争。制定和实施进一步深化国资国企改革方案，完善民营经济促进法配套法规政策。加紧清理拖欠企业账款。推动平台企业和平台内经营者、劳动者共赢发展。拓展要素市场化改革试点。健全地方税体系。深入推进中小金融机构减量提质，持续深化资本市场投融资综合改革。</w:t>
      </w:r>
    </w:p>
    <w:p w14:paraId="5E78CB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央经济工作会议：灵活高效运用降准降息等多种政策工具，保持流动性充裕。中央经济工作会议12月10日至11日在北京举行。会议指出，明年经济工作在政策取向上，要坚持稳中求进、提质增效，发挥存量政策和增量政策集成效应，加大逆周期和跨周期调节力度，提升宏观经济治理效能。要继续实施更加积极的财政政策。保持必要的财政赤字、债务总规模和支出总量，加强财政科学管理，优化财政支出结构，规范税收优惠、财政补贴政策。重视解决地方财政困难，兜牢基层“三保”底线。严肃财经纪律，坚持党政机关过紧日子。要继续实施适度宽松的货币政策。把促进经济稳定增长、物价合理回升作为货币政策的重要考量，灵活高效运用降准降息等多种政策工具，保持流动性充裕，畅通货币政策传导机制，引导金融机构加力支持扩大内需、科技创新、中小微企业等重点领域。保持人民币汇率在合理均衡水平上的基本稳定。要增强宏观政策取向一致性和有效性。将各类经济政策和非经济政策、存量政策和增量政策纳入宏观政策取向一致性评估。健全预期管理机制，提振社会信心。</w:t>
      </w:r>
    </w:p>
    <w:p w14:paraId="2430D1BE">
      <w:pPr>
        <w:rPr>
          <w:rFonts w:hint="eastAsia" w:ascii="宋体" w:hAnsi="宋体" w:eastAsia="宋体" w:cs="宋体"/>
          <w:sz w:val="24"/>
          <w:szCs w:val="24"/>
          <w:lang w:val="en-US" w:eastAsia="zh-CN"/>
        </w:rPr>
      </w:pPr>
    </w:p>
    <w:p w14:paraId="184E3349">
      <w:pPr>
        <w:rPr>
          <w:rFonts w:hint="eastAsia" w:ascii="宋体" w:hAnsi="宋体" w:eastAsia="宋体" w:cs="宋体"/>
          <w:sz w:val="24"/>
          <w:szCs w:val="24"/>
          <w:lang w:val="en-US" w:eastAsia="zh-CN"/>
        </w:rPr>
      </w:pPr>
    </w:p>
    <w:p w14:paraId="6017D454">
      <w:pPr>
        <w:pStyle w:val="2"/>
        <w:bidi w:val="0"/>
        <w:rPr>
          <w:rFonts w:hint="eastAsia"/>
          <w:lang w:val="en-US" w:eastAsia="zh-CN"/>
        </w:rPr>
      </w:pPr>
      <w:r>
        <w:rPr>
          <w:rFonts w:hint="eastAsia"/>
          <w:lang w:val="en-US" w:eastAsia="zh-CN"/>
        </w:rPr>
        <w:t>市场</w:t>
      </w:r>
    </w:p>
    <w:p w14:paraId="740E4630">
      <w:pPr>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【金融】12月11日收盘，沪指报3873.32点，跌0.70%；深成指报13147.39点，跌1.27%；创业板指报3163.67点，跌1.41%。</w:t>
      </w:r>
    </w:p>
    <w:p w14:paraId="105596A2">
      <w:pPr>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【金融】截止至12月10日，两市融资余额合计24888.31亿元，较前一交易日增加34.72亿元。上交所融资余额报12586.75亿元，较前一交易日增加1.25亿元；深交所融资余额报12301.56亿元，较前一交易日增加33.47亿元。</w:t>
      </w:r>
    </w:p>
    <w:p w14:paraId="50F7281B">
      <w:pPr>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房地产】中央经济工作会议：着力稳定房地产市场，因城施策控增量、去库存、优供给。中央经济工作会议12月10日至11日在北京举行。会议确定，明年经济工作抓好以下重点任务。坚持守牢底线，积极稳妥化解重点领域风险。着力稳定房地产市场，因城施策控增量、去库存、优供给，鼓励收购存量商品房重点用于保障性住房等。深化住房公积金制度改革，有序推动“好房子”建设。加快构建房地产发展新模式。积极有序化解地方政府债务风险，督促各地主动化债，不得违规新增隐性债务。优化债务重组和置换办法，多措并举化解地方政府融资平台经营性债务风险。</w:t>
      </w:r>
    </w:p>
    <w:p w14:paraId="78DCA51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房地产】宁夏8部门出台楼市新政：新建商品住房购房补贴，金融支持“应贷尽贷”。宁夏8部门联合印发《关于进一步推动房地产市场平稳健康发展的若干措施》，推出涵盖住房消费、供给保障、金融支持、市场监管四大维度的十二项具体新政。新政包括：自治区财政牵头联动各市县配套资金，为购买新建商品住房的市民发放专项补贴，直接降低购房经济压力，激发住房消费活力。针对商办类房屋购置推出定向补贴政策，助力商业地产市场纾困回暖，促进房地产市场多业态均衡发展。明确夫妻婚前结清公积金贷款的，婚后可再次申请公积金贷款，打破政策限制，全力支持家庭改善型住房需求。公积金提取用途进一步拓展，不仅覆盖直系亲属住房相关支出，还新增3周岁以下幼儿家庭适幼改造提取项目，让公积金使用更具灵活性。建立房地产项目“白名单”主办银行制度，为合规项目提供稳定金融支持，确保信贷资源精准投放；同时鼓励商业银行为引进人才、高校毕业生等开发专属特色房贷产品，降低青年群体购房门槛。</w:t>
      </w:r>
    </w:p>
    <w:p w14:paraId="7973EFC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房地产】中指院：预计2026年全国新建商品房销售面积同比降6.2%。据中指院今日发布的2026中国房地产市场趋势报告，中性情形下，预计2026年全国新建商品房销售面积同比下降6.2%，降幅较今年有所收窄，市场分化态势延续。在控增量、优存量政策导向下，预计2026年新开工面积下降8.6%，降幅较过去几年明显收窄；预计房地产投资同比下降11%，而供给端缩量将有助于市场库存下降，推动供求关系改善。中长期来看，“十五五”新建商品住宅年均销售面积预计保持在7-8亿平米左右，随着市场库存逐步回落，配合社会预期修复，预计“十五五”中后期房地产市场有望逐步走出调整阶段。</w:t>
      </w:r>
    </w:p>
    <w:p w14:paraId="23B7D0F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外贸】中央经济工作会议：鼓励支持服务出口，积极发展数字贸易、绿色贸易。中央经济工作会议12月10日至11日在北京举行。会议指出，坚持对外开放，推动多领域合作共赢。稳步推进制度型开放，有序扩大服务领域自主开放，优化自由贸易试验区布局范围，扎实推进海南自由贸易港建设。推进贸易投资一体化、内外贸一体化发展。鼓励支持服务出口，积极发展数字贸易、绿色贸易。深化外商投资促进体制机制改革。完善海外综合服务体系。推动共建“一带一路”高质量发展。推动商签更多区域和双边贸易投资协定。</w:t>
      </w:r>
    </w:p>
    <w:p w14:paraId="763624F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农业】中央经济工作会议：加强主要海湾整体规划，推动海洋经济高质量发展。中央经济工作会议12月10日至11日在北京举行。会议确定，坚持协调发展，促进城乡融合和区域联动。统筹推进以县城为重要载体的城镇化建设和乡村全面振兴，推动县域经济高质量发展。严守耕地红线，毫不放松抓好粮食生产，促进粮食等重要农产品价格保持在合理水平。持续巩固拓展脱贫攻坚成果，把常态化帮扶纳入乡村振兴战略统筹实施，守牢不发生规模性返贫致贫底线。支持经济大省挑大梁。加强重点城市群协调联动，深化跨行政区合作。加强主要海湾整体规划，推动海洋经济高质量发展。</w:t>
      </w:r>
    </w:p>
    <w:p w14:paraId="37B5AFF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工智能】中央经济工作会议：实施新一轮重点产业链高质量发展行动。中央经济工作会议12月10日至11日在北京举行。会议指出，坚持创新驱动，加紧培育壮大新动能。制定一体推进教育科技人才发展方案。建设北京（京津冀）、上海（长三角）、粤港澳大湾区国际科技创新中心。强化企业创新主体地位，完善新兴领域知识产权保护制度。制定服务业扩能提质行动方案。实施新一轮重点产业链高质量发展行动。深化拓展“人工智能+”，完善人工智能治理。创新科技金融服务。</w:t>
      </w:r>
    </w:p>
    <w:p w14:paraId="7F619E0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消费电子】机构：预计2026年第一季度存储器涨势持续强劲，智能手机、笔电品牌启动价格上修与规格降级。根据TrendForce集邦咨询最新调查，由于预期2026年第一季存储器价格将显著上涨，全球终端产品面临艰巨的成本考验，智能手机、笔电产业上修产品价格、调降规格，销量展望再度下修已难避免，资源优势将向少数龙头品牌高度集中。TrendForce集邦咨询表示，存储器对智能手机、PC等消费型终端的BOM，cost影响正在迅速扩大，即便是获利表现相对优异的iPhone系列，2026年第一季存储器在整机BOM，cost的占比也将明显提升，迫使Apple重新审视新机定价，不排除缩减或取消旧机降价幅度。</w:t>
      </w:r>
    </w:p>
    <w:p w14:paraId="0EFDB43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零售业】商务部：“十五五”时期将推进零售业创新提升工程，培育一批具有国际竞争力的零售企业。商务部12月11日举行例行新闻发布会。新闻发言人何亚东说，商务部将谋划“十五五”时期零售业创新转型和高质量发展，加大政策的支持力度。推进零售业创新提升工程。通过开展城市试点，打造一批引领带动性强的零售场景，推出一批融合创新的业态模式，培育一批具有国际竞争力的零售企业，推动构建现代零售体系。</w:t>
      </w:r>
    </w:p>
    <w:p w14:paraId="52A6FECB">
      <w:pPr>
        <w:pStyle w:val="2"/>
        <w:bidi w:val="0"/>
        <w:rPr>
          <w:rFonts w:hint="eastAsia"/>
          <w:lang w:val="en-US" w:eastAsia="zh-CN"/>
        </w:rPr>
      </w:pPr>
      <w:r>
        <w:rPr>
          <w:rFonts w:hint="eastAsia"/>
          <w:lang w:val="en-US" w:eastAsia="zh-CN"/>
        </w:rPr>
        <w:t>公司</w:t>
      </w:r>
    </w:p>
    <w:p w14:paraId="4BED9BE5">
      <w:pPr>
        <w:rPr>
          <w:rFonts w:hint="eastAsia" w:ascii="宋体" w:hAnsi="宋体" w:eastAsia="宋体" w:cs="宋体"/>
          <w:sz w:val="24"/>
          <w:szCs w:val="24"/>
          <w:lang w:val="en-US" w:eastAsia="zh-CN"/>
        </w:rPr>
      </w:pPr>
      <w:r>
        <w:rPr>
          <w:rStyle w:val="5"/>
          <w:rFonts w:hint="eastAsia" w:ascii="宋体" w:hAnsi="宋体" w:eastAsia="宋体" w:cs="宋体"/>
          <w:b w:val="0"/>
          <w:bCs w:val="0"/>
          <w:i w:val="0"/>
          <w:iCs w:val="0"/>
          <w:caps w:val="0"/>
          <w:color w:val="34304B"/>
          <w:spacing w:val="0"/>
          <w:sz w:val="24"/>
          <w:szCs w:val="24"/>
          <w:bdr w:val="none" w:color="auto" w:sz="0" w:space="0"/>
          <w:shd w:val="clear" w:fill="FFFFFF"/>
          <w:vertAlign w:val="baseline"/>
        </w:rPr>
        <w:t>世运电路：已实现向全球头部互联网终端客户的数据中心供应光通讯网络连接器用高速PCB产品</w:t>
      </w:r>
      <w:r>
        <w:rPr>
          <w:rStyle w:val="5"/>
          <w:rFonts w:hint="eastAsia" w:ascii="宋体" w:hAnsi="宋体" w:eastAsia="宋体" w:cs="宋体"/>
          <w:b w:val="0"/>
          <w:bCs w:val="0"/>
          <w:i w:val="0"/>
          <w:iCs w:val="0"/>
          <w:caps w:val="0"/>
          <w:color w:val="34304B"/>
          <w:spacing w:val="0"/>
          <w:sz w:val="24"/>
          <w:szCs w:val="24"/>
          <w:bdr w:val="none" w:color="auto" w:sz="0" w:space="0"/>
          <w:shd w:val="clear" w:fill="FFFFFF"/>
          <w:vertAlign w:val="baseline"/>
          <w:lang w:eastAsia="zh-CN"/>
        </w:rPr>
        <w:t>。</w:t>
      </w:r>
      <w:r>
        <w:rPr>
          <w:rFonts w:hint="eastAsia" w:ascii="宋体" w:hAnsi="宋体" w:eastAsia="宋体" w:cs="宋体"/>
          <w:i w:val="0"/>
          <w:iCs w:val="0"/>
          <w:caps w:val="0"/>
          <w:color w:val="34304B"/>
          <w:spacing w:val="0"/>
          <w:sz w:val="24"/>
          <w:szCs w:val="24"/>
          <w:shd w:val="clear" w:fill="FFFFFF"/>
        </w:rPr>
        <w:t>世运电路在互动平台表示，在AI服务器、数据中心领域，公司已实现向全球头部互联网终端客户的数据中心供应光通讯网络连接器用高速PCB产品，并以此为切入点开启与其他国内外相关领域客户的合作。同时，针对下一代高速信号传输、算力场景的技术需求，公司正与核心客户持续推进技术合作与产品迭代，相关布局将为公司带来长期增长动力。</w:t>
      </w:r>
    </w:p>
    <w:p w14:paraId="507AE42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汇绿生态：拟出售部分闲置房产，包括宁波和武汉两处房产。汇绿生态(001267.SZ)公告称，公司拟向宁波伊玛环境科技股份有限公司出售位于宁波市鄞州区的两套独栋办公用房，面积合计805.86平方米，出售价格为1252万元（含税）。此外，公司还拟出售部分闲置资产，包括位于武汉市东西湖区和宁波市北仑区的多处房产，建筑面积合计860.89平方米。公司董事会已授权管理层全权办理相关事宜。</w:t>
      </w:r>
    </w:p>
    <w:p w14:paraId="6197238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威电子：实控人将变更为付英波，股票明起复牌。中威电子(300270.SZ)公告称，公司控股股东新乡市新投产业并购投资基金壹号合伙企业（有限合伙）与济南君川科技合伙企业（有限合伙）签署了《有限合伙财产份额转让协议》，济南君川拟受让新乡产业基金所持新乡产业基金壹号合伙企业55.00%财产份额并成为其有限合伙人。济南萌睿思科技合伙企业(有限合伙)与石旭刚、新乡产业基金壹号签署《股份转让协议》，拟受让公司1514.03万股股份，占公司总股本的5.00%。权益变动完成后，公司控股股东仍为新乡产业基金壹号，公司实际控制人由新乡市人民政府变更为付英波。公司股票将于2025年12月12日复牌。</w:t>
      </w:r>
    </w:p>
    <w:p w14:paraId="72439E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国铁物：拟与时代骐骥等共同投资设立合资公司，聚焦新能源重卡全生命周期运营。中国铁物(000927.SZ)公告称，公司拟与中国物资储运集团有限公司、中国物流股份有限公司、中国包装有限责任公司、中储智运科技股份有限公司、时代骐骥新能源科技（深圳）有限公司、地上铁绿色科技（深圳）股份有限公司共同投资设立合资公司，旨在打造具有核心竞争力的新能源运力解决方案提供商。合资公司注册资本5亿元，其中中国铁物出资2500万元，持股比例5%。合资公司成立后，将致力于整合股东方优势资源，聚焦新能源重卡全生命周期运营。时代骐骥作为宁德时代新能源科技股份有限公司的间接控股子公司，可为合资公司提供充换电基础设施、维保服务等关键资源。</w:t>
      </w:r>
    </w:p>
    <w:p w14:paraId="2CF4CD7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万科A：截至10月31日公司及控股子公司担保余额844.76亿元，无逾期担保事项。万科A(000002.SZ)公告称，公司之控股子公司为满足经营需要，继续通过信用保证、股权质押等方式为相关贷款提供担保。一是上海筑浦信息技术有限公司向南京银行申请的0.2亿元贷款，印力商用置业有限公司为其提供连带责任保证担保，目前贷款余额0.1亿元，后续可提款，担保本金0.2亿元。二是Dynasty，Holding，Company，Limited申请的28亿元贷款，目前余额23.84亿元，SCPG，Holdings，Company，Limited将其持有的1.97%股权质押。截至2025年10月31日，公司及控股子公司担保余额844.76亿元，占2024年末经审计归属于上市公司股东净资产比重为41.68%，公司无逾期担保事项。</w:t>
      </w:r>
    </w:p>
    <w:p w14:paraId="7D805AE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京东集团：京东工业于12月11日在香港联交所主板上市。京东集团在港交所公告，董事会欣然宣布，于全球发售完成后，京东工业股份有限公司于2025年12月11日在香港联交所主板上市，及京东工业股份于2025年12月11日上午九时正在香港联交所主板开始买卖。</w:t>
      </w:r>
    </w:p>
    <w:p w14:paraId="73AA39F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兴铸管：子公司芜湖新兴拟12.44亿元收购华润制钢100%股权。新兴铸管(000778.SZ)公告称，公司下属全资子公司芜湖新兴拟以12.44亿元收购江阴华润制钢100%股权。交易完成后，华润制钢将纳入公司合并报表范围。本次交易完成后，公司子公司芜湖新兴全面接管华润制钢生产运营等方面，协同市场开拓，提升市场竞争力，增强公司的核心竞争力和可持续发展能力。本次交易不考虑过渡期损益的影响，预计增加净利润3800万元左右。</w:t>
      </w:r>
    </w:p>
    <w:p w14:paraId="5D2578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杰瑞股份：将回购股份价格上限由48.16元/股调整为90元/股。杰瑞股份(002353.SZ)公告称，鉴于公司股价近期持续高于回购股份价格上限，基于对公司经营发展的信心及对公司长期投资价值和未来持续发展前景的充分认可，公司将回购股份价格上限由48.16元/股调整为90元/股，调整生效日期为2025年12月12日。除上述调整外，回购方案其他内容不变。按回购金额上限25000万元、回购价格上限90元/股测算，预计可回购股数约277.78万股；按回购金额下限15000万元测算，预计可回购股数约166.67万股。</w:t>
      </w:r>
    </w:p>
    <w:p w14:paraId="0642FE8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南都电源：筹划公司控制权变更事项，股票停牌。南都电源(300068.SZ)公告称，公司于近日收到公司控股股东杭州南都电源有限公司、上海益都实业有限公司、上海南都集团有限公司通知，获悉其正在筹划控制权变更、促进再生铅板块股权出售的相关事宜。目前各方尚未签署相关协议，拟就具体交易方案、协议等相关事项进行论证和磋商，具体情况以各方签订的相关协议为准。经申请，公司股票自2025年12月12日开市起停牌，预计停牌时间不超过2个交易日。</w:t>
      </w:r>
    </w:p>
    <w:p w14:paraId="3600655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兆新股份：拟收购新能源运维企业优得新能源70%股权，后者系新能源运维赛道龙头企业。兆新股份(002256.SZ)公告称，公司拟以现金支付方式收购优得新能源科技（宁波）有限公司（简称“优得新能源”）70%股权，对应的交易对价上限为2.2亿元。交易完成后，优得新能源将成为公司控股子公司。优得新能源深耕新能源运维领域逾8年，系该细分赛道龙头企业。本次收购将进一步增强公司新能源全域运营战略部署与落地能力，拓宽公司新能源板块业务发展空间。</w:t>
      </w:r>
    </w:p>
    <w:p w14:paraId="17BCDC37">
      <w:pPr>
        <w:pStyle w:val="2"/>
        <w:bidi w:val="0"/>
        <w:rPr>
          <w:rFonts w:hint="eastAsia"/>
          <w:lang w:val="en-US" w:eastAsia="zh-CN"/>
        </w:rPr>
      </w:pPr>
      <w:r>
        <w:rPr>
          <w:rFonts w:hint="eastAsia"/>
          <w:lang w:val="en-US" w:eastAsia="zh-CN"/>
        </w:rPr>
        <w:t>国际</w:t>
      </w:r>
    </w:p>
    <w:p w14:paraId="0841130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告：2024年全球金融资产达269万亿欧元，中国在全球增量中贡献近两成。安联集团近日发布的《2025年安联全球财富报告》显示，2024年全球金融资产达到269万亿欧元，同比增长8.7%。在全球增量中，中国贡献为19.8%，是全球财富增长中占比较高的来源之一。</w:t>
      </w:r>
    </w:p>
    <w:p w14:paraId="2989F22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欧盟拟推迟燃油新车禁售令五年，为插电式混动和增程电动车开绿灯。欧盟正考虑将原定于2035年全面禁售内燃机新车的计划推迟五年，此举是在德国、意大利等主要汽车制造国强烈游说下作出的调整。据知情人士透露，欧盟委员会将于下周公布对汽车行业脱碳规则的修订方案。多国政府和车企认为，当前向纯电动车转型的步伐过于激进，可能危及欧洲这一核心产业的生存。新方案拟允许插电式混动车和增程式电动车在2035年后继续销售最多五年，但前提是这些车辆必须使用先进生物燃料或“电子燃料”（由捕获的二氧化碳与可再生电力合成）并在制造过程中采用绿色钢材。</w:t>
      </w:r>
    </w:p>
    <w:p w14:paraId="5BBB332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摩根士丹利：欧洲央行若维持利率不变，欧元预计将在2026年触及1.30。摩根士丹利表示，如果欧洲央行明年维持利率不变，欧元可能会飙升至十多年来最高水平。“如果欧洲央行政策平稳，同时结合我们对美国利率和风险溢价路径的假设，预计欧元兑美元将在第二季度升至1.3，”David，Adams等策略师在报告中写道。这一水平较当前的1.17高出11%，是2014年以来最高水平。不过，摩根士丹利的基准情景并非按兵不动，而是预计到2026年年中将降息50个基点。相比之下，市场在本周欧洲央行官员Isabel，Schnabel发表鹰派言论后，越来越多地押注2026年欧洲央行将会加息。Adams补充道，即便欧洲央行放松政策，欧元仍可能升至1.23，因美</w:t>
      </w:r>
      <w:bookmarkStart w:id="0" w:name="_GoBack"/>
      <w:bookmarkEnd w:id="0"/>
      <w:r>
        <w:rPr>
          <w:rFonts w:hint="eastAsia" w:ascii="宋体" w:hAnsi="宋体" w:eastAsia="宋体" w:cs="宋体"/>
          <w:sz w:val="24"/>
          <w:szCs w:val="24"/>
          <w:lang w:val="en-US" w:eastAsia="zh-CN"/>
        </w:rPr>
        <w:t>联储预计将继续降息，美元将普遍走弱。</w:t>
      </w:r>
    </w:p>
    <w:p w14:paraId="271FD0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瑞银：预计明年港股IPO规模将超3000亿元，居全球榜首。瑞银全球投资银行部副主席李镇国表示，港交所18C章为科技公司开辟新的上市渠道，预计明年将有150至200家公司来港上市，IPO总规模料达3000亿元，位居全球榜首，并相信消费品、高科技及人工智能仍会是明年的主题。</w:t>
      </w:r>
    </w:p>
    <w:p w14:paraId="359E46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欧盟：2025年第三季度电力生产中的可再生能源增长4%。欧盟委员会数据显示，2025年第三季度，欧盟净发电量中有49.3%来自可再生能源，较2024年同期的47.5%增长了3.8%。在欧盟国家中，2025年第三季度，丹麦以95.9%的可再生能源在净发电中的比例最高，其次是奥地利（93.3%）和爱沙尼亚（85.6%）。可再生能源比例最低的州分别是马耳他（16.6%）、捷克（19.7%）和斯洛伐克（21.1%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9C2299"/>
    <w:rsid w:val="2CE03230"/>
    <w:rsid w:val="3F9C2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58</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2025-12-11T11:28:00Z</dcterms:created>
  <dc:creator>趁早受伤</dc:creator>
  <cp:lastModifiedBy>趁早受伤</cp:lastModifiedBy>
  <dcterms:modified xsi:type="dcterms:W3CDTF">2025-12-11T12:32:41Z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6BA14B6B72C94360ADF750218F3BCA3F_11</vt:lpwstr>
  </property>
  <property fmtid="{D5CDD505-2E9C-101B-9397-08002B2CF9AE}" pid="4" name="KSOTemplateDocerSaveRecord">
    <vt:lpwstr>eyJoZGlkIjoiZjFmZWIzNDg2MmIzZjExOTIzMmViNTBmYTMwYTk0ZWYiLCJ1c2VySWQiOiIzNDMyODg2OTcifQ==</vt:lpwstr>
  </property>
</Properties>
</file>