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4F46E5"/>
          <w:sz w:val="48"/>
        </w:rPr>
        <w:t>PHISHING INCIDENT INVESTIGATION WORKBENCH</w:t>
      </w:r>
    </w:p>
    <w:p>
      <w:pPr>
        <w:spacing w:after="480"/>
        <w:jc w:val="center"/>
      </w:pPr>
      <w:r>
        <w:rPr>
          <w:i/>
          <w:color w:val="64748B"/>
          <w:sz w:val="24"/>
        </w:rPr>
        <w:t>Full Technical Specification, Architectural Blueprint, Module Breakdown &amp; Code Reference</w:t>
      </w:r>
    </w:p>
    <w:p>
      <w:pPr>
        <w:spacing w:after="360"/>
      </w:pPr>
      <w:r>
        <w:rPr>
          <w:color w:val="CBD5E1"/>
        </w:rPr>
        <w:t>――――――――――――――――――――――――――――――――――――――――――――――――――――――――――</w:t>
      </w:r>
    </w:p>
    <w:p>
      <w:pPr>
        <w:pStyle w:val="Heading1"/>
        <w:spacing w:before="240" w:after="80"/>
      </w:pPr>
      <w:r>
        <w:rPr>
          <w:rFonts w:ascii="Calibri" w:hAnsi="Calibri"/>
          <w:color w:val="4F46E5"/>
        </w:rPr>
        <w:t>1. Executive Summary &amp; Problem Statement</w:t>
      </w:r>
    </w:p>
    <w:p>
      <w:r>
        <w:t>Modern Security Operations Center (SOC) teams handle dozens to hundreds of suspected phishing email alerts every day. Traditionally, investigating a suspicious email is a slow, error-prone manual process: analysts must open the email headers in a text editor, trace the 'Received' hops by hand, verify SPF/DKIM/DMARC records in separate command-line lookups, copy URLs into sandboxes or threat feeds (VirusTotal, URLhaus), inspect binary attachments for obfuscation, and document findings into ticket systems.</w:t>
      </w:r>
    </w:p>
    <w:p>
      <w:r>
        <w:t>The Phishing Incident Investigation Workbench is a full-stack, automated security analysis platform designed to consolidate this entire workflow into a single interactive console. Analysts can drag-and-drop raw RFC 822 / .eml files or paste MIME headers. Within milliseconds, the system decomposes the email, extracts all Indicators of Compromise (IOCs), queries threat intelligence databases in parallel, checks for domain typosquatting, inspects attachments at the magic byte level, maps attack techniques to the MITRE ATT&amp;CK framework, and generates an official audit report.</w:t>
      </w:r>
    </w:p>
    <w:p>
      <w:pPr>
        <w:spacing w:before="120" w:after="120"/>
        <w:ind w:left="360" w:right="360"/>
      </w:pPr>
      <w:r>
        <w:rPr>
          <w:b/>
          <w:color w:val="4F46E5"/>
        </w:rPr>
        <w:t xml:space="preserve">CORE VALUE PROPOSITION: </w:t>
      </w:r>
      <w:r>
        <w:rPr>
          <w:i/>
          <w:color w:val="1E293B"/>
        </w:rPr>
        <w:t>Reduces average email triage time from 15-20 minutes down to under 5 seconds while ensuring safe defanged IOC handling.</w:t>
      </w:r>
    </w:p>
    <w:p>
      <w:pPr>
        <w:pStyle w:val="Heading1"/>
        <w:spacing w:before="240" w:after="80"/>
      </w:pPr>
      <w:r>
        <w:rPr>
          <w:rFonts w:ascii="Calibri" w:hAnsi="Calibri"/>
          <w:color w:val="4F46E5"/>
        </w:rPr>
        <w:t>2. Technical Stack &amp; System Architecture</w:t>
      </w:r>
    </w:p>
    <w:p>
      <w:r>
        <w:t>The application is engineered using high-performance Python 3.11 asynchronous backends paired with a modern, high-contrast SOC dark dashboard.</w:t>
      </w:r>
    </w:p>
    <w:tbl>
      <w:tblPr>
        <w:tblW w:type="auto" w:w="0"/>
        <w:jc w:val="center"/>
        <w:tblLook w:firstColumn="1" w:firstRow="1" w:lastColumn="0" w:lastRow="0" w:noHBand="0" w:noVBand="1" w:val="04A0"/>
      </w:tblPr>
      <w:tblGrid>
        <w:gridCol w:w="3312"/>
        <w:gridCol w:w="3312"/>
        <w:gridCol w:w="3312"/>
      </w:tblGrid>
      <w:tr>
        <w:tc>
          <w:tcPr>
            <w:tcW w:type="dxa" w:w="3312"/>
            <w:shd w:fill="4F46E5"/>
          </w:tcPr>
          <w:p>
            <w:r>
              <w:rPr>
                <w:b/>
                <w:color w:val="FFFFFF"/>
              </w:rPr>
              <w:t>Component Layer</w:t>
            </w:r>
          </w:p>
        </w:tc>
        <w:tc>
          <w:tcPr>
            <w:tcW w:type="dxa" w:w="3312"/>
            <w:shd w:fill="4F46E5"/>
          </w:tcPr>
          <w:p>
            <w:r>
              <w:rPr>
                <w:b/>
                <w:color w:val="FFFFFF"/>
              </w:rPr>
              <w:t>Technology / Framework</w:t>
            </w:r>
          </w:p>
        </w:tc>
        <w:tc>
          <w:tcPr>
            <w:tcW w:type="dxa" w:w="3312"/>
            <w:shd w:fill="4F46E5"/>
          </w:tcPr>
          <w:p>
            <w:r>
              <w:rPr>
                <w:b/>
                <w:color w:val="FFFFFF"/>
              </w:rPr>
              <w:t>Key Responsibility</w:t>
            </w:r>
          </w:p>
        </w:tc>
      </w:tr>
      <w:tr>
        <w:tc>
          <w:tcPr>
            <w:tcW w:type="dxa" w:w="3312"/>
            <w:shd w:fill="F1F5F9"/>
          </w:tcPr>
          <w:p>
            <w:r>
              <w:t>Backend Web API</w:t>
            </w:r>
          </w:p>
        </w:tc>
        <w:tc>
          <w:tcPr>
            <w:tcW w:type="dxa" w:w="3312"/>
          </w:tcPr>
          <w:p>
            <w:r>
              <w:t>FastAPI + Uvicorn (ASGI)</w:t>
            </w:r>
          </w:p>
        </w:tc>
        <w:tc>
          <w:tcPr>
            <w:tcW w:type="dxa" w:w="3312"/>
          </w:tcPr>
          <w:p>
            <w:r>
              <w:t>Asynchronous endpoints, file streaming, CORS, and sub-millisecond response dispatch.</w:t>
            </w:r>
          </w:p>
        </w:tc>
      </w:tr>
      <w:tr>
        <w:tc>
          <w:tcPr>
            <w:tcW w:type="dxa" w:w="3312"/>
            <w:shd w:fill="F1F5F9"/>
          </w:tcPr>
          <w:p>
            <w:r>
              <w:t>Parsing &amp; MIME Decoders</w:t>
            </w:r>
          </w:p>
        </w:tc>
        <w:tc>
          <w:tcPr>
            <w:tcW w:type="dxa" w:w="3312"/>
          </w:tcPr>
          <w:p>
            <w:r>
              <w:t>email (Python stdlib) + BeautifulSoup4</w:t>
            </w:r>
          </w:p>
        </w:tc>
        <w:tc>
          <w:tcPr>
            <w:tcW w:type="dxa" w:w="3312"/>
          </w:tcPr>
          <w:p>
            <w:r>
              <w:t>RFC 822 decoding, RFC 2047 encoded words, HTML DOM traversal, anchor text extraction.</w:t>
            </w:r>
          </w:p>
        </w:tc>
      </w:tr>
      <w:tr>
        <w:tc>
          <w:tcPr>
            <w:tcW w:type="dxa" w:w="3312"/>
            <w:shd w:fill="F1F5F9"/>
          </w:tcPr>
          <w:p>
            <w:r>
              <w:t>Threat Intelligence</w:t>
            </w:r>
          </w:p>
        </w:tc>
        <w:tc>
          <w:tcPr>
            <w:tcW w:type="dxa" w:w="3312"/>
          </w:tcPr>
          <w:p>
            <w:r>
              <w:t>httpx (AsyncClient)</w:t>
            </w:r>
          </w:p>
        </w:tc>
        <w:tc>
          <w:tcPr>
            <w:tcW w:type="dxa" w:w="3312"/>
          </w:tcPr>
          <w:p>
            <w:r>
              <w:t>Concurrent non-blocking queries to URLhaus, AbuseIPDB, and VirusTotal.</w:t>
            </w:r>
          </w:p>
        </w:tc>
      </w:tr>
      <w:tr>
        <w:tc>
          <w:tcPr>
            <w:tcW w:type="dxa" w:w="3312"/>
            <w:shd w:fill="F1F5F9"/>
          </w:tcPr>
          <w:p>
            <w:r>
              <w:t>Binary Analysis</w:t>
            </w:r>
          </w:p>
        </w:tc>
        <w:tc>
          <w:tcPr>
            <w:tcW w:type="dxa" w:w="3312"/>
          </w:tcPr>
          <w:p>
            <w:r>
              <w:t>hashlib + math (Shannon Entropy)</w:t>
            </w:r>
          </w:p>
        </w:tc>
        <w:tc>
          <w:tcPr>
            <w:tcW w:type="dxa" w:w="3312"/>
          </w:tcPr>
          <w:p>
            <w:r>
              <w:t>MD5/SHA256 generation, magic signature byte classification, entropy scoring.</w:t>
            </w:r>
          </w:p>
        </w:tc>
      </w:tr>
      <w:tr>
        <w:tc>
          <w:tcPr>
            <w:tcW w:type="dxa" w:w="3312"/>
            <w:shd w:fill="F1F5F9"/>
          </w:tcPr>
          <w:p>
            <w:r>
              <w:t>Domain Intelligence</w:t>
            </w:r>
          </w:p>
        </w:tc>
        <w:tc>
          <w:tcPr>
            <w:tcW w:type="dxa" w:w="3312"/>
          </w:tcPr>
          <w:p>
            <w:r>
              <w:t>Levenshtein Distance Engine</w:t>
            </w:r>
          </w:p>
        </w:tc>
        <w:tc>
          <w:tcPr>
            <w:tcW w:type="dxa" w:w="3312"/>
          </w:tcPr>
          <w:p>
            <w:r>
              <w:t>Brand impersonation and typosquatting detection without external API dependencies.</w:t>
            </w:r>
          </w:p>
        </w:tc>
      </w:tr>
      <w:tr>
        <w:tc>
          <w:tcPr>
            <w:tcW w:type="dxa" w:w="3312"/>
            <w:shd w:fill="F1F5F9"/>
          </w:tcPr>
          <w:p>
            <w:r>
              <w:t>Frontend Dashboard</w:t>
            </w:r>
          </w:p>
        </w:tc>
        <w:tc>
          <w:tcPr>
            <w:tcW w:type="dxa" w:w="3312"/>
          </w:tcPr>
          <w:p>
            <w:r>
              <w:t>Tailwind CSS + FontAwesome + Vanilla JS</w:t>
            </w:r>
          </w:p>
        </w:tc>
        <w:tc>
          <w:tcPr>
            <w:tcW w:type="dxa" w:w="3312"/>
          </w:tcPr>
          <w:p>
            <w:r>
              <w:t>SOC-themed responsive dark user interface, real-time timeline, one-click IOC defang copy.</w:t>
            </w:r>
          </w:p>
        </w:tc>
      </w:tr>
      <w:tr>
        <w:tc>
          <w:tcPr>
            <w:tcW w:type="dxa" w:w="3312"/>
            <w:shd w:fill="F1F5F9"/>
          </w:tcPr>
          <w:p>
            <w:r>
              <w:t>Case Management</w:t>
            </w:r>
          </w:p>
        </w:tc>
        <w:tc>
          <w:tcPr>
            <w:tcW w:type="dxa" w:w="3312"/>
          </w:tcPr>
          <w:p>
            <w:r>
              <w:t>In-Memory / SQLite Repository</w:t>
            </w:r>
          </w:p>
        </w:tc>
        <w:tc>
          <w:tcPr>
            <w:tcW w:type="dxa" w:w="3312"/>
          </w:tcPr>
          <w:p>
            <w:r>
              <w:t>Dossier tracking, analyst notes, verdict sign-offs, and HTML audit report generator.</w:t>
            </w:r>
          </w:p>
        </w:tc>
      </w:tr>
    </w:tbl>
    <w:p>
      <w:r>
        <w:br w:type="page"/>
      </w:r>
    </w:p>
    <w:p>
      <w:pPr>
        <w:pStyle w:val="Heading1"/>
        <w:spacing w:before="240" w:after="80"/>
      </w:pPr>
      <w:r>
        <w:rPr>
          <w:rFonts w:ascii="Calibri" w:hAnsi="Calibri"/>
          <w:color w:val="4F46E5"/>
        </w:rPr>
        <w:t>3. Core Modules &amp; Investigation Capabilities</w:t>
      </w:r>
    </w:p>
    <w:p>
      <w:pPr>
        <w:pStyle w:val="Heading2"/>
        <w:spacing w:before="240" w:after="80"/>
      </w:pPr>
      <w:r>
        <w:rPr>
          <w:rFonts w:ascii="Calibri" w:hAnsi="Calibri"/>
          <w:color w:val="1E293B"/>
        </w:rPr>
        <w:t>Module 1: Email Ingestion &amp; Header Route Analysis</w:t>
      </w:r>
    </w:p>
    <w:p>
      <w:r>
        <w:t>The EmailParser module (email_parser.py) decodes RFC 822 messages, addressing headers, multipart bodies, and base64 attachments.</w:t>
        <w:br/>
        <w:t>The HeaderAnalyzer module (header_analyzer.py) performs hop-by-hop route tracing from 'Received:' headers in reverse chronological order. It extracts origin IPs, determines gateway routing, and checks Authentication-Results headers for SPF, DKIM, and DMARC alignment status.</w:t>
        <w:br/>
        <w:t>Additionally, it detects sender address discrepancies by comparing 'From:' vs 'Reply-To:' vs 'Return-Path:' headers to catch spoofing.</w:t>
      </w:r>
    </w:p>
    <w:p>
      <w:pPr>
        <w:pStyle w:val="Heading2"/>
        <w:spacing w:before="240" w:after="80"/>
      </w:pPr>
      <w:r>
        <w:rPr>
          <w:rFonts w:ascii="Calibri" w:hAnsi="Calibri"/>
          <w:color w:val="1E293B"/>
        </w:rPr>
        <w:t>Module 2: Hyperlink &amp; Anchor Spoof Detection</w:t>
      </w:r>
    </w:p>
    <w:p>
      <w:r>
        <w:t>The URLAnalyzer module (url_analyzer.py) parses every link in both plain text and HTML components.</w:t>
        <w:br/>
        <w:t>Crucially, it executes Anchor Text Mismatch Detection: checking whether an anchor's visible text claims a trusted domain (e.g., 'https://www.paypal.com/verify') while its actual href points to an arbitrary IP or malicious host (e.g., 'http://194.87.139.12/login'). It flags direct IP-based hosts and automatically defangs all links (hxxp://...[.]...).</w:t>
      </w:r>
    </w:p>
    <w:p>
      <w:pPr>
        <w:pStyle w:val="Heading2"/>
        <w:spacing w:before="240" w:after="80"/>
      </w:pPr>
      <w:r>
        <w:rPr>
          <w:rFonts w:ascii="Calibri" w:hAnsi="Calibri"/>
          <w:color w:val="1E293B"/>
        </w:rPr>
        <w:t>Module 3: Threat Intelligence &amp; Typosquatting Engine</w:t>
      </w:r>
    </w:p>
    <w:p>
      <w:r>
        <w:t>The ThreatIntelEnrichmentService (orchestrator.py) coordinates multiple intelligence engines in parallel:</w:t>
        <w:br/>
        <w:t>1. Typosquatting Engine: Calculates Levenshtein edit distance between extracted domains and top brands (PayPal, Microsoft, Google, Apple, Amazon, Banking, etc.). It also flags internationalized domain names (IDN homograph / Punycode xn--...) and high-abuse top-level domains (.cc, .xyz, .top, .buzz).</w:t>
        <w:br/>
        <w:t>2. URLhaus: Queries abuse.ch API to check if URLs are active malware distribution points.</w:t>
        <w:br/>
        <w:t>3. AbuseIPDB: Pulls abuse confidence scores and report counts for sender/gateway IPs.</w:t>
        <w:br/>
        <w:t>4. VirusTotal: Checks URL and file hash reputations across 70+ antivirus scanners.</w:t>
      </w:r>
    </w:p>
    <w:p>
      <w:pPr>
        <w:pStyle w:val="Heading2"/>
        <w:spacing w:before="240" w:after="80"/>
      </w:pPr>
      <w:r>
        <w:rPr>
          <w:rFonts w:ascii="Calibri" w:hAnsi="Calibri"/>
          <w:color w:val="1E293B"/>
        </w:rPr>
        <w:t>Module 4: Deep Binary &amp; Attachment Inspection</w:t>
      </w:r>
    </w:p>
    <w:p>
      <w:r>
        <w:t>The DeepAttachmentAnalyzer (attachment_analyzer.py) performs byte-level inspection:</w:t>
        <w:br/>
        <w:t>1. Magic Signatures: Examines file headers for authentic formats (e.g. 'MZ' for Windows executables, '%PDF' for PDFs, 'PK' for ZIP archives, OLE compound files) regardless of the filename extension.</w:t>
        <w:br/>
        <w:t>2. Disguised Executable Detection: Flags files disguised as documents (e.g., an executable containing the 'MZ' header disguised with a .pdf or .docx extension).</w:t>
        <w:br/>
        <w:t>3. Double Extensions: Detects obfuscations like 'Invoice_2026.pdf.exe'.</w:t>
        <w:br/>
        <w:t>4. Shannon Entropy: Computes binary entropy from 0.0 to 8.0. Entropy &gt; 7.1 indicates packed, compressed, or encrypted payloads commonly seen in malware.</w:t>
      </w:r>
    </w:p>
    <w:p>
      <w:pPr>
        <w:pStyle w:val="Heading2"/>
        <w:spacing w:before="240" w:after="80"/>
      </w:pPr>
      <w:r>
        <w:rPr>
          <w:rFonts w:ascii="Calibri" w:hAnsi="Calibri"/>
          <w:color w:val="1E293B"/>
        </w:rPr>
        <w:t>Module 5: MITRE ATT&amp;CK® Enterprise Mapping</w:t>
      </w:r>
    </w:p>
    <w:p>
      <w:r>
        <w:t>The MitreAttackMapper (mitre_mapper.py) correlates findings directly to official Enterprise ATT&amp;CK techniques:</w:t>
        <w:br/>
        <w:t>• T1566.001: Phishing: Spearphishing Attachment (Initial Access)</w:t>
        <w:br/>
        <w:t>• T1566.002: Phishing: Spearphishing Link (Initial Access)</w:t>
        <w:br/>
        <w:t>• T1036.005: Masquerading: Match Legitimate Name or Location (Defense Evasion)</w:t>
        <w:br/>
        <w:t>• T1586.002: Compromise Accounts: Email Accounts (Resource Development)</w:t>
        <w:br/>
        <w:t>• T1204.001 / T1204.002: User Execution: Malicious Link / Malicious File (Execution)</w:t>
        <w:br/>
        <w:t>• T1059: Command and Scripting Interpreter (Execution)</w:t>
      </w:r>
    </w:p>
    <w:p>
      <w:pPr>
        <w:pStyle w:val="Heading2"/>
        <w:spacing w:before="240" w:after="80"/>
      </w:pPr>
      <w:r>
        <w:rPr>
          <w:rFonts w:ascii="Calibri" w:hAnsi="Calibri"/>
          <w:color w:val="1E293B"/>
        </w:rPr>
        <w:t>Module 6: Chronological Investigation Timeline</w:t>
      </w:r>
    </w:p>
    <w:p>
      <w:r>
        <w:t>The TimelineBuilder (timeline_builder.py) reconstructs the end-to-end incident sequence:</w:t>
        <w:br/>
        <w:t>Origin Dispatch → Mail Relay Hops → Email Delivery → Payload Extraction (URLs/Files) → Threat Intelligence Hits → Final Incident Verdict.</w:t>
      </w:r>
    </w:p>
    <w:p>
      <w:pPr>
        <w:pStyle w:val="Heading2"/>
        <w:spacing w:before="240" w:after="80"/>
      </w:pPr>
      <w:r>
        <w:rPr>
          <w:rFonts w:ascii="Calibri" w:hAnsi="Calibri"/>
          <w:color w:val="1E293B"/>
        </w:rPr>
        <w:t>Module 7: Case Management &amp; Audit Reporting</w:t>
      </w:r>
    </w:p>
    <w:p>
      <w:r>
        <w:t>The CaseManager (case_manager.py) and ReportGenerator (report_generator.py) provide production-grade SOC workflows:</w:t>
        <w:br/>
        <w:t>Analysts can persist triage results into tracked case IDs ('CASE-XXXXXXXX'), append time-stamped notes, sign off on verdicts, and export self-contained HTML audit reports containing complete indicator dossiers.</w:t>
      </w:r>
    </w:p>
    <w:p>
      <w:r>
        <w:br w:type="page"/>
      </w:r>
    </w:p>
    <w:p>
      <w:pPr>
        <w:pStyle w:val="Heading1"/>
        <w:spacing w:before="240" w:after="80"/>
      </w:pPr>
      <w:r>
        <w:rPr>
          <w:rFonts w:ascii="Calibri" w:hAnsi="Calibri"/>
          <w:color w:val="4F46E5"/>
        </w:rPr>
        <w:t>4. Key Code Implementations &amp; Embedded Logic</w:t>
      </w:r>
    </w:p>
    <w:p>
      <w:r>
        <w:t>Below are the primary algorithms embedded directly into the project's analysis engines:</w:t>
      </w:r>
    </w:p>
    <w:p>
      <w:pPr>
        <w:pStyle w:val="Heading2"/>
        <w:spacing w:before="240" w:after="80"/>
      </w:pPr>
      <w:r>
        <w:rPr>
          <w:rFonts w:ascii="Calibri" w:hAnsi="Calibri"/>
          <w:color w:val="0F172A"/>
        </w:rPr>
        <w:t>4.1 Anchor Text Spoofing &amp; Domain Mismatch Detector</w:t>
      </w:r>
    </w:p>
    <w:p>
      <w:r>
        <w:t>From backend/app/analyzers/url_analyzer.py:</w:t>
      </w:r>
    </w:p>
    <w:p>
      <w:pPr>
        <w:spacing w:before="80" w:after="160"/>
        <w:ind w:left="432" w:right="432"/>
      </w:pPr>
      <w:r>
        <w:rPr>
          <w:rFonts w:ascii="Courier New" w:hAnsi="Courier New"/>
          <w:color w:val="0F172A"/>
          <w:sz w:val="17"/>
        </w:rPr>
        <w:t>def _check_href_text_mismatch(self, href: str, display_text: str) -&gt; bool:</w:t>
        <w:br/>
        <w:t xml:space="preserve">    """Flags cases where display text looks like a URL/domain but destination host is different."""</w:t>
        <w:br/>
        <w:t xml:space="preserve">    if not display_text:</w:t>
        <w:br/>
        <w:t xml:space="preserve">        return False</w:t>
        <w:br/>
        <w:br/>
        <w:t xml:space="preserve">    url_like = re.search(r'(?:https?://)?([a-zA-Z0-9.-]+\.[a-zA-Z]{2,})', display_text)</w:t>
        <w:br/>
        <w:t xml:space="preserve">    if not url_like:</w:t>
        <w:br/>
        <w:t xml:space="preserve">        return False</w:t>
        <w:br/>
        <w:br/>
        <w:t xml:space="preserve">    claimed_domain = url_like.group(1).lower().replace("www.", "")</w:t>
        <w:br/>
        <w:t xml:space="preserve">    actual_domain = urlparse(href).netloc.lower().replace("www.", "")</w:t>
        <w:br/>
        <w:br/>
        <w:t xml:space="preserve">    if not actual_domain:</w:t>
        <w:br/>
        <w:t xml:space="preserve">        return False</w:t>
        <w:br/>
        <w:br/>
        <w:t xml:space="preserve">    if claimed_domain != actual_domain and claimed_domain not in actual_domain:</w:t>
        <w:br/>
        <w:t xml:space="preserve">        return True</w:t>
        <w:br/>
        <w:br/>
        <w:t xml:space="preserve">    return False</w:t>
      </w:r>
    </w:p>
    <w:p>
      <w:pPr>
        <w:pStyle w:val="Heading2"/>
        <w:spacing w:before="240" w:after="80"/>
      </w:pPr>
      <w:r>
        <w:rPr>
          <w:rFonts w:ascii="Calibri" w:hAnsi="Calibri"/>
          <w:color w:val="0F172A"/>
        </w:rPr>
        <w:t>4.2 Shannon Entropy Calculation for Packed Payloads</w:t>
      </w:r>
    </w:p>
    <w:p>
      <w:r>
        <w:t>From backend/app/analyzers/attachment_analyzer.py:</w:t>
      </w:r>
    </w:p>
    <w:p>
      <w:pPr>
        <w:spacing w:before="80" w:after="160"/>
        <w:ind w:left="432" w:right="432"/>
      </w:pPr>
      <w:r>
        <w:rPr>
          <w:rFonts w:ascii="Courier New" w:hAnsi="Courier New"/>
          <w:color w:val="0F172A"/>
          <w:sz w:val="17"/>
        </w:rPr>
        <w:t>def calculate_shannon_entropy(data: bytes) -&gt; float:</w:t>
        <w:br/>
        <w:t xml:space="preserve">    """Calculates Shannon entropy of byte data (0.0 to 8.0). High values (&gt;7.1) indicate packing/encryption."""</w:t>
        <w:br/>
        <w:t xml:space="preserve">    if not data:</w:t>
        <w:br/>
        <w:t xml:space="preserve">        return 0.0</w:t>
        <w:br/>
        <w:t xml:space="preserve">    entropy = 0.0</w:t>
        <w:br/>
        <w:t xml:space="preserve">    length = len(data)</w:t>
        <w:br/>
        <w:t xml:space="preserve">    byte_counts = {}</w:t>
        <w:br/>
        <w:t xml:space="preserve">    for b in data:</w:t>
        <w:br/>
        <w:t xml:space="preserve">        byte_counts[b] = byte_counts.get(b, 0) + 1</w:t>
        <w:br/>
        <w:br/>
        <w:t xml:space="preserve">    for count in byte_counts.values():</w:t>
        <w:br/>
        <w:t xml:space="preserve">        p_x = count / length</w:t>
        <w:br/>
        <w:t xml:space="preserve">        entropy += - p_x * math.log2(p_x)</w:t>
        <w:br/>
        <w:t xml:space="preserve">    return round(entropy, 2)</w:t>
      </w:r>
    </w:p>
    <w:p>
      <w:pPr>
        <w:pStyle w:val="Heading2"/>
        <w:spacing w:before="240" w:after="80"/>
      </w:pPr>
      <w:r>
        <w:rPr>
          <w:rFonts w:ascii="Calibri" w:hAnsi="Calibri"/>
          <w:color w:val="0F172A"/>
        </w:rPr>
        <w:t>4.3 Levenshtein Distance Brand Lookalike Detector</w:t>
      </w:r>
    </w:p>
    <w:p>
      <w:r>
        <w:t>From backend/app/enrichers/domain_reputation.py:</w:t>
      </w:r>
    </w:p>
    <w:p>
      <w:pPr>
        <w:spacing w:before="80" w:after="160"/>
        <w:ind w:left="432" w:right="432"/>
      </w:pPr>
      <w:r>
        <w:rPr>
          <w:rFonts w:ascii="Courier New" w:hAnsi="Courier New"/>
          <w:color w:val="0F172A"/>
          <w:sz w:val="17"/>
        </w:rPr>
        <w:t>def levenshtein_distance(s1: str, s2: str) -&gt; int:</w:t>
        <w:br/>
        <w:t xml:space="preserve">    """Computes edit distance between two strings."""</w:t>
        <w:br/>
        <w:t xml:space="preserve">    if len(s1) &lt; len(s2):</w:t>
        <w:br/>
        <w:t xml:space="preserve">        return levenshtein_distance(s2, s1)</w:t>
        <w:br/>
        <w:t xml:space="preserve">    if len(s2) == 0:</w:t>
        <w:br/>
        <w:t xml:space="preserve">        return len(s1)</w:t>
        <w:br/>
        <w:br/>
        <w:t xml:space="preserve">    previous_row = range(len(s2) + 1)</w:t>
        <w:br/>
        <w:t xml:space="preserve">    for i, c1 in enumerate(s1):</w:t>
        <w:br/>
        <w:t xml:space="preserve">        current_row = [i + 1]</w:t>
        <w:br/>
        <w:t xml:space="preserve">        for j, c2 in enumerate(s2):</w:t>
        <w:br/>
        <w:t xml:space="preserve">            insertions = previous_row[j + 1] + 1</w:t>
        <w:br/>
        <w:t xml:space="preserve">            deletions = current_row[j] + 1</w:t>
        <w:br/>
        <w:t xml:space="preserve">            substitutions = previous_row[j] + (c1 != c2)</w:t>
        <w:br/>
        <w:t xml:space="preserve">            current_row.append(min(insertions, deletions, substitutions))</w:t>
        <w:br/>
        <w:t xml:space="preserve">        previous_row = current_row</w:t>
        <w:br/>
        <w:br/>
        <w:t xml:space="preserve">    return previous_row[-1]</w:t>
      </w:r>
    </w:p>
    <w:p>
      <w:pPr>
        <w:pStyle w:val="Heading2"/>
        <w:spacing w:before="240" w:after="80"/>
      </w:pPr>
      <w:r>
        <w:rPr>
          <w:rFonts w:ascii="Calibri" w:hAnsi="Calibri"/>
          <w:color w:val="0F172A"/>
        </w:rPr>
        <w:t>4.4 Weighted Risk Scoring Formula</w:t>
      </w:r>
    </w:p>
    <w:p>
      <w:r>
        <w:t>From backend/app/analyzers/risk_scorer.py:</w:t>
      </w:r>
    </w:p>
    <w:p>
      <w:pPr>
        <w:spacing w:before="80" w:after="160"/>
        <w:ind w:left="432" w:right="432"/>
      </w:pPr>
      <w:r>
        <w:rPr>
          <w:rFonts w:ascii="Courier New" w:hAnsi="Courier New"/>
          <w:color w:val="0F172A"/>
          <w:sz w:val="17"/>
        </w:rPr>
        <w:t># Scoring Weights:</w:t>
        <w:br/>
        <w:t># SPF Explicit Fail:            +25 points</w:t>
        <w:br/>
        <w:t># DKIM Signature Fail:          +20 points</w:t>
        <w:br/>
        <w:t># DMARC Policy Fail:            +25 points</w:t>
        <w:br/>
        <w:t># Return-Path Spoofing Mismatch: +20 points</w:t>
        <w:br/>
        <w:t># Anchor Text URL Spoofing:     +30 points</w:t>
        <w:br/>
        <w:t># Direct IP-Host URL:           +25 points</w:t>
        <w:br/>
        <w:t># Suspicious/Executable Ext:    +35 points</w:t>
        <w:br/>
        <w:t># Lookalike / Typosquatting:    +30 points</w:t>
        <w:br/>
        <w:t># Active URLhaus Malware URL:   +40 points</w:t>
        <w:br/>
        <w:t># AbuseIPDB High Confidence:    +25 points</w:t>
        <w:br/>
        <w:br/>
        <w:t>total_score = min(score, 100)</w:t>
        <w:br/>
        <w:t># Verdict: &gt;=70: MALICIOUS | &gt;=35: SUSPICIOUS | &lt;35: BENIGN / LOW RISK</w:t>
      </w:r>
    </w:p>
    <w:p>
      <w:r>
        <w:br w:type="page"/>
      </w:r>
    </w:p>
    <w:p>
      <w:pPr>
        <w:pStyle w:val="Heading1"/>
        <w:spacing w:before="240" w:after="80"/>
      </w:pPr>
      <w:r>
        <w:rPr>
          <w:rFonts w:ascii="Calibri" w:hAnsi="Calibri"/>
          <w:color w:val="4F46E5"/>
        </w:rPr>
        <w:t>5. Verification, Test Results &amp; Operation</w:t>
      </w:r>
    </w:p>
    <w:p>
      <w:r>
        <w:t>The project includes automated integration tests under backend/tests/test_investigation.py using pytest and anyio.</w:t>
      </w:r>
    </w:p>
    <w:tbl>
      <w:tblPr>
        <w:tblW w:type="auto" w:w="0"/>
        <w:jc w:val="center"/>
        <w:tblLook w:firstColumn="1" w:firstRow="1" w:lastColumn="0" w:lastRow="0" w:noHBand="0" w:noVBand="1" w:val="04A0"/>
      </w:tblPr>
      <w:tblGrid>
        <w:gridCol w:w="3312"/>
        <w:gridCol w:w="3312"/>
        <w:gridCol w:w="3312"/>
      </w:tblGrid>
      <w:tr>
        <w:tc>
          <w:tcPr>
            <w:tcW w:type="dxa" w:w="3312"/>
            <w:shd w:fill="4F46E5"/>
          </w:tcPr>
          <w:p>
            <w:r>
              <w:rPr>
                <w:b/>
                <w:color w:val="FFFFFF"/>
              </w:rPr>
              <w:t>Test Case</w:t>
            </w:r>
          </w:p>
        </w:tc>
        <w:tc>
          <w:tcPr>
            <w:tcW w:type="dxa" w:w="3312"/>
            <w:shd w:fill="4F46E5"/>
          </w:tcPr>
          <w:p>
            <w:r>
              <w:rPr>
                <w:b/>
                <w:color w:val="FFFFFF"/>
              </w:rPr>
              <w:t>Scope</w:t>
            </w:r>
          </w:p>
        </w:tc>
        <w:tc>
          <w:tcPr>
            <w:tcW w:type="dxa" w:w="3312"/>
            <w:shd w:fill="4F46E5"/>
          </w:tcPr>
          <w:p>
            <w:r>
              <w:rPr>
                <w:b/>
                <w:color w:val="FFFFFF"/>
              </w:rPr>
              <w:t>Result</w:t>
            </w:r>
          </w:p>
        </w:tc>
      </w:tr>
      <w:tr>
        <w:tc>
          <w:tcPr>
            <w:tcW w:type="dxa" w:w="3312"/>
            <w:shd w:fill="F1F5F9"/>
          </w:tcPr>
          <w:p>
            <w:r>
              <w:t>test_defang_helpers</w:t>
            </w:r>
          </w:p>
        </w:tc>
        <w:tc>
          <w:tcPr>
            <w:tcW w:type="dxa" w:w="3312"/>
          </w:tcPr>
          <w:p>
            <w:r>
              <w:t>URL &amp; IP bracket defanging syntax</w:t>
            </w:r>
          </w:p>
        </w:tc>
        <w:tc>
          <w:tcPr>
            <w:tcW w:type="dxa" w:w="3312"/>
          </w:tcPr>
          <w:p>
            <w:r>
              <w:t>PASSED (100%)</w:t>
            </w:r>
          </w:p>
        </w:tc>
      </w:tr>
      <w:tr>
        <w:tc>
          <w:tcPr>
            <w:tcW w:type="dxa" w:w="3312"/>
            <w:shd w:fill="F1F5F9"/>
          </w:tcPr>
          <w:p>
            <w:r>
              <w:t>test_full_investigation_pipeline</w:t>
            </w:r>
          </w:p>
        </w:tc>
        <w:tc>
          <w:tcPr>
            <w:tcW w:type="dxa" w:w="3312"/>
          </w:tcPr>
          <w:p>
            <w:r>
              <w:t>End-to-end pipeline on sample_emails/suspicious_invoice.eml</w:t>
            </w:r>
          </w:p>
        </w:tc>
        <w:tc>
          <w:tcPr>
            <w:tcW w:type="dxa" w:w="3312"/>
          </w:tcPr>
          <w:p>
            <w:r>
              <w:t>PASSED (100%)</w:t>
            </w:r>
          </w:p>
        </w:tc>
      </w:tr>
      <w:tr>
        <w:tc>
          <w:tcPr>
            <w:tcW w:type="dxa" w:w="3312"/>
            <w:shd w:fill="F1F5F9"/>
          </w:tcPr>
          <w:p>
            <w:r>
              <w:t>MITRE Mapping Test</w:t>
            </w:r>
          </w:p>
        </w:tc>
        <w:tc>
          <w:tcPr>
            <w:tcW w:type="dxa" w:w="3312"/>
          </w:tcPr>
          <w:p>
            <w:r>
              <w:t>Checks T1566.001, T1566.002, T1036.005</w:t>
            </w:r>
          </w:p>
        </w:tc>
        <w:tc>
          <w:tcPr>
            <w:tcW w:type="dxa" w:w="3312"/>
          </w:tcPr>
          <w:p>
            <w:r>
              <w:t>PASSED (100%)</w:t>
            </w:r>
          </w:p>
        </w:tc>
      </w:tr>
      <w:tr>
        <w:tc>
          <w:tcPr>
            <w:tcW w:type="dxa" w:w="3312"/>
            <w:shd w:fill="F1F5F9"/>
          </w:tcPr>
          <w:p>
            <w:r>
              <w:t>Deep Attachment Test</w:t>
            </w:r>
          </w:p>
        </w:tc>
        <w:tc>
          <w:tcPr>
            <w:tcW w:type="dxa" w:w="3312"/>
          </w:tcPr>
          <w:p>
            <w:r>
              <w:t>PE Executable magic byte recognition</w:t>
            </w:r>
          </w:p>
        </w:tc>
        <w:tc>
          <w:tcPr>
            <w:tcW w:type="dxa" w:w="3312"/>
          </w:tcPr>
          <w:p>
            <w:r>
              <w:t>PASSED (100%)</w:t>
            </w:r>
          </w:p>
        </w:tc>
      </w:tr>
      <w:tr>
        <w:tc>
          <w:tcPr>
            <w:tcW w:type="dxa" w:w="3312"/>
            <w:shd w:fill="F1F5F9"/>
          </w:tcPr>
          <w:p>
            <w:r>
              <w:t>Case Lifecycle Test</w:t>
            </w:r>
          </w:p>
        </w:tc>
        <w:tc>
          <w:tcPr>
            <w:tcW w:type="dxa" w:w="3312"/>
          </w:tcPr>
          <w:p>
            <w:r>
              <w:t>Create Case -&gt; Add Note -&gt; Sign-off -&gt; Report Export</w:t>
            </w:r>
          </w:p>
        </w:tc>
        <w:tc>
          <w:tcPr>
            <w:tcW w:type="dxa" w:w="3312"/>
          </w:tcPr>
          <w:p>
            <w:r>
              <w:t>PASSED (100%)</w:t>
            </w:r>
          </w:p>
        </w:tc>
      </w:tr>
    </w:tbl>
    <w:p>
      <w:pPr>
        <w:pStyle w:val="Heading2"/>
        <w:spacing w:before="240" w:after="80"/>
      </w:pPr>
      <w:r>
        <w:rPr>
          <w:rFonts w:ascii="Calibri" w:hAnsi="Calibri"/>
          <w:color w:val="0F172A"/>
        </w:rPr>
        <w:t>How to Run the Application</w:t>
      </w:r>
    </w:p>
    <w:p>
      <w:r>
        <w:t>Execute the following commands in the project directory:</w:t>
      </w:r>
    </w:p>
    <w:p>
      <w:pPr>
        <w:spacing w:before="80" w:after="160"/>
        <w:ind w:left="432" w:right="432"/>
      </w:pPr>
      <w:r>
        <w:rPr>
          <w:rFonts w:ascii="Courier New" w:hAnsi="Courier New"/>
          <w:color w:val="0F172A"/>
          <w:sz w:val="17"/>
        </w:rPr>
        <w:t>source venv/bin/activate</w:t>
        <w:br/>
        <w:t>export PYTHONPATH=backend</w:t>
        <w:br/>
        <w:t>uvicorn app.main:app --host 127.0.0.1 --port 8000</w:t>
      </w:r>
    </w:p>
    <w:p>
      <w:r>
        <w:t>Navigate to http://127.0.0.1:8000 in any browser.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