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7715B" w14:textId="77777777" w:rsidR="00C84D4A" w:rsidRDefault="00C84D4A" w:rsidP="00C84D4A">
      <w:pPr>
        <w:spacing w:line="360" w:lineRule="auto"/>
        <w:jc w:val="center"/>
        <w:rPr>
          <w:rFonts w:ascii="Arial" w:hAnsi="Arial" w:cs="Arial"/>
          <w:b/>
          <w:bCs/>
          <w:u w:val="single"/>
          <w:lang w:val="pt-BR"/>
        </w:rPr>
      </w:pPr>
      <w:r w:rsidRPr="00C84D4A">
        <w:rPr>
          <w:rFonts w:ascii="Arial" w:hAnsi="Arial" w:cs="Arial"/>
          <w:b/>
          <w:bCs/>
          <w:u w:val="single"/>
          <w:lang w:val="pt-BR"/>
        </w:rPr>
        <w:t>ENTREGA 3 – ANÁLISE EXPLORATÓRIA ADICIONAL E PROBABILIDADES</w:t>
      </w:r>
    </w:p>
    <w:p w14:paraId="451426B8" w14:textId="77777777" w:rsidR="00C84D4A" w:rsidRPr="00C84D4A" w:rsidRDefault="00C84D4A" w:rsidP="00C84D4A">
      <w:pPr>
        <w:spacing w:line="360" w:lineRule="auto"/>
        <w:jc w:val="both"/>
        <w:rPr>
          <w:rFonts w:ascii="Arial" w:hAnsi="Arial" w:cs="Arial"/>
          <w:u w:val="single"/>
          <w:lang w:val="pt-BR"/>
        </w:rPr>
      </w:pPr>
    </w:p>
    <w:p w14:paraId="5C7EA028" w14:textId="0CF371CA" w:rsidR="00C84D4A" w:rsidRPr="00C84D4A" w:rsidRDefault="00C84D4A" w:rsidP="00C84D4A">
      <w:pPr>
        <w:pStyle w:val="ListParagraph"/>
        <w:numPr>
          <w:ilvl w:val="0"/>
          <w:numId w:val="8"/>
        </w:numPr>
        <w:spacing w:line="360" w:lineRule="auto"/>
        <w:jc w:val="both"/>
        <w:rPr>
          <w:rFonts w:ascii="Arial" w:hAnsi="Arial" w:cs="Arial"/>
          <w:b/>
          <w:bCs/>
          <w:lang w:val="pt-BR"/>
        </w:rPr>
      </w:pPr>
      <w:r w:rsidRPr="00C84D4A">
        <w:rPr>
          <w:rFonts w:ascii="Arial" w:hAnsi="Arial" w:cs="Arial"/>
          <w:b/>
          <w:bCs/>
          <w:lang w:val="pt-BR"/>
        </w:rPr>
        <w:t>Introdução</w:t>
      </w:r>
    </w:p>
    <w:p w14:paraId="69151F68" w14:textId="77777777" w:rsidR="00C84D4A" w:rsidRDefault="00C84D4A" w:rsidP="00C84D4A">
      <w:pPr>
        <w:spacing w:line="360" w:lineRule="auto"/>
        <w:jc w:val="both"/>
        <w:rPr>
          <w:rFonts w:ascii="Arial" w:hAnsi="Arial" w:cs="Arial"/>
          <w:lang w:val="pt-BR"/>
        </w:rPr>
      </w:pPr>
      <w:r w:rsidRPr="00C84D4A">
        <w:rPr>
          <w:rFonts w:ascii="Arial" w:hAnsi="Arial" w:cs="Arial"/>
          <w:lang w:val="pt-BR"/>
        </w:rPr>
        <w:t>Esta terceira entrega prossegue com a análise dos dados de óbitos no trânsito brasileiro em 2023. Focaremos na distribuição dos dados por região, com base nas tabelas e gráficos box-</w:t>
      </w:r>
      <w:proofErr w:type="spellStart"/>
      <w:r w:rsidRPr="00C84D4A">
        <w:rPr>
          <w:rFonts w:ascii="Arial" w:hAnsi="Arial" w:cs="Arial"/>
          <w:lang w:val="pt-BR"/>
        </w:rPr>
        <w:t>plot</w:t>
      </w:r>
      <w:proofErr w:type="spellEnd"/>
      <w:r w:rsidRPr="00C84D4A">
        <w:rPr>
          <w:rFonts w:ascii="Arial" w:hAnsi="Arial" w:cs="Arial"/>
          <w:lang w:val="pt-BR"/>
        </w:rPr>
        <w:t xml:space="preserve"> fornecidos, excluindo outliers. O objetivo é identificar concentrações de dados e calcular probabilidades básicas de ocorrência de determinados níveis de óbitos entre as regiões. As referências às tabelas seguem a numeração e descrições anteriores.</w:t>
      </w:r>
    </w:p>
    <w:p w14:paraId="6A708CA5" w14:textId="77777777" w:rsidR="00C84D4A" w:rsidRDefault="00C84D4A" w:rsidP="00C84D4A">
      <w:pPr>
        <w:spacing w:line="360" w:lineRule="auto"/>
        <w:jc w:val="both"/>
        <w:rPr>
          <w:rFonts w:ascii="Arial" w:hAnsi="Arial" w:cs="Arial"/>
          <w:lang w:val="pt-BR"/>
        </w:rPr>
      </w:pPr>
    </w:p>
    <w:p w14:paraId="71E5670E" w14:textId="78D29FB8" w:rsidR="00C84D4A" w:rsidRPr="00C84D4A" w:rsidRDefault="00C84D4A" w:rsidP="00C84D4A">
      <w:pPr>
        <w:pStyle w:val="ListParagraph"/>
        <w:numPr>
          <w:ilvl w:val="0"/>
          <w:numId w:val="8"/>
        </w:numPr>
        <w:spacing w:line="360" w:lineRule="auto"/>
        <w:jc w:val="both"/>
        <w:rPr>
          <w:rFonts w:ascii="Arial" w:hAnsi="Arial" w:cs="Arial"/>
          <w:b/>
          <w:bCs/>
          <w:lang w:val="pt-BR"/>
        </w:rPr>
      </w:pPr>
      <w:r w:rsidRPr="00C84D4A">
        <w:rPr>
          <w:rFonts w:ascii="Arial" w:hAnsi="Arial" w:cs="Arial"/>
          <w:b/>
          <w:bCs/>
          <w:lang w:val="pt-BR"/>
        </w:rPr>
        <w:t>Metodologia</w:t>
      </w:r>
    </w:p>
    <w:p w14:paraId="739D252C" w14:textId="14EEFE5C" w:rsidR="00C84D4A" w:rsidRPr="00C84D4A" w:rsidRDefault="00C84D4A" w:rsidP="00C84D4A">
      <w:pPr>
        <w:spacing w:line="360" w:lineRule="auto"/>
        <w:jc w:val="both"/>
        <w:rPr>
          <w:rFonts w:ascii="Arial" w:hAnsi="Arial" w:cs="Arial"/>
          <w:lang w:val="pt-BR"/>
        </w:rPr>
      </w:pPr>
      <w:r w:rsidRPr="00C84D4A">
        <w:rPr>
          <w:rFonts w:ascii="Arial" w:hAnsi="Arial" w:cs="Arial"/>
          <w:lang w:val="pt-BR"/>
        </w:rPr>
        <w:t>A análise exploratória baseia-se na interpretação dos gráficos box-</w:t>
      </w:r>
      <w:proofErr w:type="spellStart"/>
      <w:r w:rsidRPr="00C84D4A">
        <w:rPr>
          <w:rFonts w:ascii="Arial" w:hAnsi="Arial" w:cs="Arial"/>
          <w:lang w:val="pt-BR"/>
        </w:rPr>
        <w:t>plot</w:t>
      </w:r>
      <w:proofErr w:type="spellEnd"/>
      <w:r w:rsidRPr="00C84D4A">
        <w:rPr>
          <w:rFonts w:ascii="Arial" w:hAnsi="Arial" w:cs="Arial"/>
          <w:lang w:val="pt-BR"/>
        </w:rPr>
        <w:t>, que sumarizam a distribuição dos óbitos por região (Norte, Nordeste, Sudeste, Sul, Centro-Oeste). A concentração dos dados é avaliada pela simetria da "caixa" (Intervalo Interquartil - IQR) e pela relação entre média e mediana. Probabilidades são calculadas como P(Evento) = (Número de Regiões com a Característica) / 5.</w:t>
      </w:r>
    </w:p>
    <w:p w14:paraId="6EA8098F" w14:textId="77777777" w:rsidR="00C84D4A" w:rsidRPr="00C84D4A" w:rsidRDefault="00C84D4A" w:rsidP="00C84D4A">
      <w:pPr>
        <w:spacing w:line="360" w:lineRule="auto"/>
        <w:jc w:val="both"/>
        <w:rPr>
          <w:rFonts w:ascii="Arial" w:hAnsi="Arial" w:cs="Arial"/>
          <w:lang w:val="pt-BR"/>
        </w:rPr>
      </w:pPr>
      <w:r w:rsidRPr="00C84D4A">
        <w:rPr>
          <w:rFonts w:ascii="Arial" w:hAnsi="Arial" w:cs="Arial"/>
          <w:lang w:val="pt-BR"/>
        </w:rPr>
        <w:t>As tabelas analisadas nesta entrega correspondem a:</w:t>
      </w:r>
    </w:p>
    <w:p w14:paraId="3F83A777" w14:textId="77777777" w:rsidR="00C84D4A" w:rsidRPr="00C84D4A" w:rsidRDefault="00C84D4A" w:rsidP="00C84D4A">
      <w:pPr>
        <w:numPr>
          <w:ilvl w:val="0"/>
          <w:numId w:val="1"/>
        </w:numPr>
        <w:spacing w:line="360" w:lineRule="auto"/>
        <w:jc w:val="both"/>
        <w:rPr>
          <w:rFonts w:ascii="Arial" w:hAnsi="Arial" w:cs="Arial"/>
          <w:lang w:val="pt-BR"/>
        </w:rPr>
      </w:pPr>
      <w:r w:rsidRPr="00C84D4A">
        <w:rPr>
          <w:rFonts w:ascii="Arial" w:hAnsi="Arial" w:cs="Arial"/>
          <w:b/>
          <w:bCs/>
          <w:lang w:val="pt-BR"/>
        </w:rPr>
        <w:t>Tabela/Box-</w:t>
      </w:r>
      <w:proofErr w:type="spellStart"/>
      <w:r w:rsidRPr="00C84D4A">
        <w:rPr>
          <w:rFonts w:ascii="Arial" w:hAnsi="Arial" w:cs="Arial"/>
          <w:b/>
          <w:bCs/>
          <w:lang w:val="pt-BR"/>
        </w:rPr>
        <w:t>Plot</w:t>
      </w:r>
      <w:proofErr w:type="spellEnd"/>
      <w:r w:rsidRPr="00C84D4A">
        <w:rPr>
          <w:rFonts w:ascii="Arial" w:hAnsi="Arial" w:cs="Arial"/>
          <w:b/>
          <w:bCs/>
          <w:lang w:val="pt-BR"/>
        </w:rPr>
        <w:t xml:space="preserve"> 1:</w:t>
      </w:r>
      <w:r w:rsidRPr="00C84D4A">
        <w:rPr>
          <w:rFonts w:ascii="Arial" w:hAnsi="Arial" w:cs="Arial"/>
          <w:lang w:val="pt-BR"/>
        </w:rPr>
        <w:t xml:space="preserve"> Óbitos por Acidentes de Transporte (CID-BR-10: 104) por Região.</w:t>
      </w:r>
    </w:p>
    <w:p w14:paraId="38BC4517" w14:textId="77777777" w:rsidR="00C84D4A" w:rsidRPr="00C84D4A" w:rsidRDefault="00C84D4A" w:rsidP="00C84D4A">
      <w:pPr>
        <w:numPr>
          <w:ilvl w:val="0"/>
          <w:numId w:val="1"/>
        </w:numPr>
        <w:spacing w:line="360" w:lineRule="auto"/>
        <w:jc w:val="both"/>
        <w:rPr>
          <w:rFonts w:ascii="Arial" w:hAnsi="Arial" w:cs="Arial"/>
          <w:lang w:val="pt-BR"/>
        </w:rPr>
      </w:pPr>
      <w:r w:rsidRPr="00C84D4A">
        <w:rPr>
          <w:rFonts w:ascii="Arial" w:hAnsi="Arial" w:cs="Arial"/>
          <w:b/>
          <w:bCs/>
          <w:lang w:val="pt-BR"/>
        </w:rPr>
        <w:t>Tabela/Box-</w:t>
      </w:r>
      <w:proofErr w:type="spellStart"/>
      <w:r w:rsidRPr="00C84D4A">
        <w:rPr>
          <w:rFonts w:ascii="Arial" w:hAnsi="Arial" w:cs="Arial"/>
          <w:b/>
          <w:bCs/>
          <w:lang w:val="pt-BR"/>
        </w:rPr>
        <w:t>Plot</w:t>
      </w:r>
      <w:proofErr w:type="spellEnd"/>
      <w:r w:rsidRPr="00C84D4A">
        <w:rPr>
          <w:rFonts w:ascii="Arial" w:hAnsi="Arial" w:cs="Arial"/>
          <w:b/>
          <w:bCs/>
          <w:lang w:val="pt-BR"/>
        </w:rPr>
        <w:t xml:space="preserve"> 2:</w:t>
      </w:r>
      <w:r w:rsidRPr="00C84D4A">
        <w:rPr>
          <w:rFonts w:ascii="Arial" w:hAnsi="Arial" w:cs="Arial"/>
          <w:lang w:val="pt-BR"/>
        </w:rPr>
        <w:t xml:space="preserve"> Total de Óbitos em Vias Públicas por Região.</w:t>
      </w:r>
    </w:p>
    <w:p w14:paraId="29B35A6D" w14:textId="77777777" w:rsidR="00C84D4A" w:rsidRPr="00C84D4A" w:rsidRDefault="00C84D4A" w:rsidP="00C84D4A">
      <w:pPr>
        <w:numPr>
          <w:ilvl w:val="0"/>
          <w:numId w:val="1"/>
        </w:numPr>
        <w:spacing w:line="360" w:lineRule="auto"/>
        <w:jc w:val="both"/>
        <w:rPr>
          <w:rFonts w:ascii="Arial" w:hAnsi="Arial" w:cs="Arial"/>
          <w:lang w:val="pt-BR"/>
        </w:rPr>
      </w:pPr>
      <w:r w:rsidRPr="00C84D4A">
        <w:rPr>
          <w:rFonts w:ascii="Arial" w:hAnsi="Arial" w:cs="Arial"/>
          <w:b/>
          <w:bCs/>
          <w:lang w:val="pt-BR"/>
        </w:rPr>
        <w:t>Tabela/Box-</w:t>
      </w:r>
      <w:proofErr w:type="spellStart"/>
      <w:r w:rsidRPr="00C84D4A">
        <w:rPr>
          <w:rFonts w:ascii="Arial" w:hAnsi="Arial" w:cs="Arial"/>
          <w:b/>
          <w:bCs/>
          <w:lang w:val="pt-BR"/>
        </w:rPr>
        <w:t>Plot</w:t>
      </w:r>
      <w:proofErr w:type="spellEnd"/>
      <w:r w:rsidRPr="00C84D4A">
        <w:rPr>
          <w:rFonts w:ascii="Arial" w:hAnsi="Arial" w:cs="Arial"/>
          <w:b/>
          <w:bCs/>
          <w:lang w:val="pt-BR"/>
        </w:rPr>
        <w:t xml:space="preserve"> 3:</w:t>
      </w:r>
      <w:r w:rsidRPr="00C84D4A">
        <w:rPr>
          <w:rFonts w:ascii="Arial" w:hAnsi="Arial" w:cs="Arial"/>
          <w:lang w:val="pt-BR"/>
        </w:rPr>
        <w:t xml:space="preserve"> Óbitos por Acidentes de Transporte em Vias Públicas (CID-BR-10: 104, Local: Via Pública) por Região.</w:t>
      </w:r>
    </w:p>
    <w:p w14:paraId="60A0BD9F" w14:textId="77777777" w:rsidR="00C84D4A" w:rsidRPr="00C84D4A" w:rsidRDefault="00C84D4A" w:rsidP="00C84D4A">
      <w:pPr>
        <w:numPr>
          <w:ilvl w:val="0"/>
          <w:numId w:val="1"/>
        </w:numPr>
        <w:spacing w:line="360" w:lineRule="auto"/>
        <w:jc w:val="both"/>
        <w:rPr>
          <w:rFonts w:ascii="Arial" w:hAnsi="Arial" w:cs="Arial"/>
          <w:lang w:val="pt-BR"/>
        </w:rPr>
      </w:pPr>
      <w:r w:rsidRPr="00C84D4A">
        <w:rPr>
          <w:rFonts w:ascii="Arial" w:hAnsi="Arial" w:cs="Arial"/>
          <w:b/>
          <w:bCs/>
          <w:lang w:val="pt-BR"/>
        </w:rPr>
        <w:t>Tabela/Box-</w:t>
      </w:r>
      <w:proofErr w:type="spellStart"/>
      <w:r w:rsidRPr="00C84D4A">
        <w:rPr>
          <w:rFonts w:ascii="Arial" w:hAnsi="Arial" w:cs="Arial"/>
          <w:b/>
          <w:bCs/>
          <w:lang w:val="pt-BR"/>
        </w:rPr>
        <w:t>Plot</w:t>
      </w:r>
      <w:proofErr w:type="spellEnd"/>
      <w:r w:rsidRPr="00C84D4A">
        <w:rPr>
          <w:rFonts w:ascii="Arial" w:hAnsi="Arial" w:cs="Arial"/>
          <w:b/>
          <w:bCs/>
          <w:lang w:val="pt-BR"/>
        </w:rPr>
        <w:t xml:space="preserve"> 4:</w:t>
      </w:r>
      <w:r w:rsidRPr="00C84D4A">
        <w:rPr>
          <w:rFonts w:ascii="Arial" w:hAnsi="Arial" w:cs="Arial"/>
          <w:lang w:val="pt-BR"/>
        </w:rPr>
        <w:t xml:space="preserve"> Óbitos de Ocupantes de Automóvel em Acidentes de Transporte em Vias Públicas por Região.</w:t>
      </w:r>
    </w:p>
    <w:p w14:paraId="1197552E" w14:textId="77777777" w:rsidR="00C84D4A" w:rsidRPr="00C84D4A" w:rsidRDefault="00C84D4A" w:rsidP="00C84D4A">
      <w:pPr>
        <w:spacing w:line="360" w:lineRule="auto"/>
        <w:jc w:val="both"/>
        <w:rPr>
          <w:rFonts w:ascii="Arial" w:hAnsi="Arial" w:cs="Arial"/>
          <w:lang w:val="pt-BR"/>
        </w:rPr>
      </w:pPr>
      <w:r w:rsidRPr="00C84D4A">
        <w:rPr>
          <w:rFonts w:ascii="Arial" w:hAnsi="Arial" w:cs="Arial"/>
          <w:b/>
          <w:bCs/>
          <w:lang w:val="pt-BR"/>
        </w:rPr>
        <w:t>3. Análise dos Dados e Resultados por Tabela/Box-</w:t>
      </w:r>
      <w:proofErr w:type="spellStart"/>
      <w:r w:rsidRPr="00C84D4A">
        <w:rPr>
          <w:rFonts w:ascii="Arial" w:hAnsi="Arial" w:cs="Arial"/>
          <w:b/>
          <w:bCs/>
          <w:lang w:val="pt-BR"/>
        </w:rPr>
        <w:t>Plot</w:t>
      </w:r>
      <w:proofErr w:type="spellEnd"/>
    </w:p>
    <w:p w14:paraId="75AB8612" w14:textId="77777777" w:rsidR="00C84D4A" w:rsidRPr="00C84D4A" w:rsidRDefault="00C84D4A" w:rsidP="00C84D4A">
      <w:pPr>
        <w:spacing w:line="360" w:lineRule="auto"/>
        <w:jc w:val="both"/>
        <w:rPr>
          <w:rFonts w:ascii="Arial" w:hAnsi="Arial" w:cs="Arial"/>
          <w:lang w:val="pt-BR"/>
        </w:rPr>
      </w:pPr>
      <w:r w:rsidRPr="00C84D4A">
        <w:rPr>
          <w:rFonts w:ascii="Arial" w:hAnsi="Arial" w:cs="Arial"/>
          <w:b/>
          <w:bCs/>
          <w:lang w:val="pt-BR"/>
        </w:rPr>
        <w:lastRenderedPageBreak/>
        <w:t>3.1 Análise da Tabela/Box-</w:t>
      </w:r>
      <w:proofErr w:type="spellStart"/>
      <w:r w:rsidRPr="00C84D4A">
        <w:rPr>
          <w:rFonts w:ascii="Arial" w:hAnsi="Arial" w:cs="Arial"/>
          <w:b/>
          <w:bCs/>
          <w:lang w:val="pt-BR"/>
        </w:rPr>
        <w:t>Plot</w:t>
      </w:r>
      <w:proofErr w:type="spellEnd"/>
      <w:r w:rsidRPr="00C84D4A">
        <w:rPr>
          <w:rFonts w:ascii="Arial" w:hAnsi="Arial" w:cs="Arial"/>
          <w:b/>
          <w:bCs/>
          <w:lang w:val="pt-BR"/>
        </w:rPr>
        <w:t xml:space="preserve"> 1: Óbitos p/</w:t>
      </w:r>
      <w:proofErr w:type="spellStart"/>
      <w:r w:rsidRPr="00C84D4A">
        <w:rPr>
          <w:rFonts w:ascii="Arial" w:hAnsi="Arial" w:cs="Arial"/>
          <w:b/>
          <w:bCs/>
          <w:lang w:val="pt-BR"/>
        </w:rPr>
        <w:t>Residênc</w:t>
      </w:r>
      <w:proofErr w:type="spellEnd"/>
      <w:r w:rsidRPr="00C84D4A">
        <w:rPr>
          <w:rFonts w:ascii="Arial" w:hAnsi="Arial" w:cs="Arial"/>
          <w:b/>
          <w:bCs/>
          <w:lang w:val="pt-BR"/>
        </w:rPr>
        <w:t xml:space="preserve"> por Região (Causa - CID-BR-10: 104 Acidentes de transporte)</w:t>
      </w:r>
    </w:p>
    <w:p w14:paraId="504361DD" w14:textId="77777777" w:rsidR="00C84D4A" w:rsidRPr="00C84D4A" w:rsidRDefault="00C84D4A" w:rsidP="00C84D4A">
      <w:pPr>
        <w:numPr>
          <w:ilvl w:val="0"/>
          <w:numId w:val="2"/>
        </w:numPr>
        <w:spacing w:line="360" w:lineRule="auto"/>
        <w:jc w:val="both"/>
        <w:rPr>
          <w:rFonts w:ascii="Arial" w:hAnsi="Arial" w:cs="Arial"/>
          <w:lang w:val="pt-BR"/>
        </w:rPr>
      </w:pPr>
      <w:r w:rsidRPr="00C84D4A">
        <w:rPr>
          <w:rFonts w:ascii="Arial" w:hAnsi="Arial" w:cs="Arial"/>
          <w:b/>
          <w:bCs/>
          <w:lang w:val="pt-BR"/>
        </w:rPr>
        <w:t>Dados Regionais:</w:t>
      </w:r>
      <w:r w:rsidRPr="00C84D4A">
        <w:rPr>
          <w:rFonts w:ascii="Arial" w:hAnsi="Arial" w:cs="Arial"/>
          <w:lang w:val="pt-BR"/>
        </w:rPr>
        <w:t xml:space="preserve"> Região Norte: 3586; Região Nordeste: 11231; Região Sudeste: 11290; Região Sul: 5925; Região Centro-Oeste: 3906.</w:t>
      </w:r>
    </w:p>
    <w:p w14:paraId="440E48E8" w14:textId="77777777" w:rsidR="00C84D4A" w:rsidRPr="00C84D4A" w:rsidRDefault="00C84D4A" w:rsidP="00C84D4A">
      <w:pPr>
        <w:numPr>
          <w:ilvl w:val="1"/>
          <w:numId w:val="2"/>
        </w:numPr>
        <w:spacing w:line="360" w:lineRule="auto"/>
        <w:jc w:val="both"/>
        <w:rPr>
          <w:rFonts w:ascii="Arial" w:hAnsi="Arial" w:cs="Arial"/>
        </w:rPr>
      </w:pPr>
      <w:proofErr w:type="spellStart"/>
      <w:r w:rsidRPr="00C84D4A">
        <w:rPr>
          <w:rFonts w:ascii="Arial" w:hAnsi="Arial" w:cs="Arial"/>
        </w:rPr>
        <w:t>Ordenados</w:t>
      </w:r>
      <w:proofErr w:type="spellEnd"/>
      <w:r w:rsidRPr="00C84D4A">
        <w:rPr>
          <w:rFonts w:ascii="Arial" w:hAnsi="Arial" w:cs="Arial"/>
        </w:rPr>
        <w:t>: 3586, 3906, 5925, 11231, 11290.</w:t>
      </w:r>
    </w:p>
    <w:p w14:paraId="730FBC27" w14:textId="77777777" w:rsidR="00C84D4A" w:rsidRPr="00C84D4A" w:rsidRDefault="00C84D4A" w:rsidP="00C84D4A">
      <w:pPr>
        <w:numPr>
          <w:ilvl w:val="0"/>
          <w:numId w:val="2"/>
        </w:numPr>
        <w:spacing w:line="360" w:lineRule="auto"/>
        <w:jc w:val="both"/>
        <w:rPr>
          <w:rFonts w:ascii="Arial" w:hAnsi="Arial" w:cs="Arial"/>
          <w:lang w:val="pt-BR"/>
        </w:rPr>
      </w:pPr>
      <w:r w:rsidRPr="00C84D4A">
        <w:rPr>
          <w:rFonts w:ascii="Arial" w:hAnsi="Arial" w:cs="Arial"/>
          <w:b/>
          <w:bCs/>
          <w:lang w:val="pt-BR"/>
        </w:rPr>
        <w:t>Análise de Concentração e Assimetria (com base nos valores calculados e no gráfico):</w:t>
      </w:r>
    </w:p>
    <w:p w14:paraId="3DB21622" w14:textId="77777777" w:rsidR="00C84D4A" w:rsidRPr="00C84D4A" w:rsidRDefault="00C84D4A" w:rsidP="00C84D4A">
      <w:pPr>
        <w:numPr>
          <w:ilvl w:val="1"/>
          <w:numId w:val="2"/>
        </w:numPr>
        <w:spacing w:line="360" w:lineRule="auto"/>
        <w:jc w:val="both"/>
        <w:rPr>
          <w:rFonts w:ascii="Arial" w:hAnsi="Arial" w:cs="Arial"/>
        </w:rPr>
      </w:pPr>
      <w:proofErr w:type="spellStart"/>
      <w:r w:rsidRPr="00C84D4A">
        <w:rPr>
          <w:rFonts w:ascii="Arial" w:hAnsi="Arial" w:cs="Arial"/>
        </w:rPr>
        <w:t>Mínimo</w:t>
      </w:r>
      <w:proofErr w:type="spellEnd"/>
      <w:r w:rsidRPr="00C84D4A">
        <w:rPr>
          <w:rFonts w:ascii="Arial" w:hAnsi="Arial" w:cs="Arial"/>
        </w:rPr>
        <w:t>: 3586</w:t>
      </w:r>
    </w:p>
    <w:p w14:paraId="7407FAD4" w14:textId="77777777" w:rsidR="00C84D4A" w:rsidRPr="00C84D4A" w:rsidRDefault="00C84D4A" w:rsidP="00C84D4A">
      <w:pPr>
        <w:numPr>
          <w:ilvl w:val="1"/>
          <w:numId w:val="2"/>
        </w:numPr>
        <w:spacing w:line="360" w:lineRule="auto"/>
        <w:jc w:val="both"/>
        <w:rPr>
          <w:rFonts w:ascii="Arial" w:hAnsi="Arial" w:cs="Arial"/>
        </w:rPr>
      </w:pPr>
      <w:r w:rsidRPr="00C84D4A">
        <w:rPr>
          <w:rFonts w:ascii="Arial" w:hAnsi="Arial" w:cs="Arial"/>
        </w:rPr>
        <w:t xml:space="preserve">Q1 (Primeiro </w:t>
      </w:r>
      <w:proofErr w:type="spellStart"/>
      <w:r w:rsidRPr="00C84D4A">
        <w:rPr>
          <w:rFonts w:ascii="Arial" w:hAnsi="Arial" w:cs="Arial"/>
        </w:rPr>
        <w:t>Quartil</w:t>
      </w:r>
      <w:proofErr w:type="spellEnd"/>
      <w:r w:rsidRPr="00C84D4A">
        <w:rPr>
          <w:rFonts w:ascii="Arial" w:hAnsi="Arial" w:cs="Arial"/>
        </w:rPr>
        <w:t>): (3586 + 3906) / 2 = 3746</w:t>
      </w:r>
    </w:p>
    <w:p w14:paraId="712E871B" w14:textId="77777777" w:rsidR="00C84D4A" w:rsidRPr="00C84D4A" w:rsidRDefault="00C84D4A" w:rsidP="00C84D4A">
      <w:pPr>
        <w:numPr>
          <w:ilvl w:val="1"/>
          <w:numId w:val="2"/>
        </w:numPr>
        <w:spacing w:line="360" w:lineRule="auto"/>
        <w:jc w:val="both"/>
        <w:rPr>
          <w:rFonts w:ascii="Arial" w:hAnsi="Arial" w:cs="Arial"/>
        </w:rPr>
      </w:pPr>
      <w:r w:rsidRPr="00C84D4A">
        <w:rPr>
          <w:rFonts w:ascii="Arial" w:hAnsi="Arial" w:cs="Arial"/>
        </w:rPr>
        <w:t>Mediana (Q2): 5925</w:t>
      </w:r>
    </w:p>
    <w:p w14:paraId="21020CD3" w14:textId="77777777" w:rsidR="00C84D4A" w:rsidRPr="00C84D4A" w:rsidRDefault="00C84D4A" w:rsidP="00C84D4A">
      <w:pPr>
        <w:numPr>
          <w:ilvl w:val="1"/>
          <w:numId w:val="2"/>
        </w:numPr>
        <w:spacing w:line="360" w:lineRule="auto"/>
        <w:jc w:val="both"/>
        <w:rPr>
          <w:rFonts w:ascii="Arial" w:hAnsi="Arial" w:cs="Arial"/>
        </w:rPr>
      </w:pPr>
      <w:r w:rsidRPr="00C84D4A">
        <w:rPr>
          <w:rFonts w:ascii="Arial" w:hAnsi="Arial" w:cs="Arial"/>
        </w:rPr>
        <w:t xml:space="preserve">Q3 (Terceiro </w:t>
      </w:r>
      <w:proofErr w:type="spellStart"/>
      <w:r w:rsidRPr="00C84D4A">
        <w:rPr>
          <w:rFonts w:ascii="Arial" w:hAnsi="Arial" w:cs="Arial"/>
        </w:rPr>
        <w:t>Quartil</w:t>
      </w:r>
      <w:proofErr w:type="spellEnd"/>
      <w:r w:rsidRPr="00C84D4A">
        <w:rPr>
          <w:rFonts w:ascii="Arial" w:hAnsi="Arial" w:cs="Arial"/>
        </w:rPr>
        <w:t>): (11231 + 11290) / 2 = 11260.5</w:t>
      </w:r>
    </w:p>
    <w:p w14:paraId="66B2B16C" w14:textId="77777777" w:rsidR="00C84D4A" w:rsidRPr="00C84D4A" w:rsidRDefault="00C84D4A" w:rsidP="00C84D4A">
      <w:pPr>
        <w:numPr>
          <w:ilvl w:val="1"/>
          <w:numId w:val="2"/>
        </w:numPr>
        <w:spacing w:line="360" w:lineRule="auto"/>
        <w:jc w:val="both"/>
        <w:rPr>
          <w:rFonts w:ascii="Arial" w:hAnsi="Arial" w:cs="Arial"/>
        </w:rPr>
      </w:pPr>
      <w:r w:rsidRPr="00C84D4A">
        <w:rPr>
          <w:rFonts w:ascii="Arial" w:hAnsi="Arial" w:cs="Arial"/>
        </w:rPr>
        <w:t>Máximo: 11290</w:t>
      </w:r>
    </w:p>
    <w:p w14:paraId="704D73F8" w14:textId="77777777" w:rsidR="00C84D4A" w:rsidRPr="00C84D4A" w:rsidRDefault="00C84D4A" w:rsidP="00C84D4A">
      <w:pPr>
        <w:numPr>
          <w:ilvl w:val="1"/>
          <w:numId w:val="2"/>
        </w:numPr>
        <w:spacing w:line="360" w:lineRule="auto"/>
        <w:jc w:val="both"/>
        <w:rPr>
          <w:rFonts w:ascii="Arial" w:hAnsi="Arial" w:cs="Arial"/>
        </w:rPr>
      </w:pPr>
      <w:proofErr w:type="spellStart"/>
      <w:r w:rsidRPr="00C84D4A">
        <w:rPr>
          <w:rFonts w:ascii="Arial" w:hAnsi="Arial" w:cs="Arial"/>
        </w:rPr>
        <w:t>Média</w:t>
      </w:r>
      <w:proofErr w:type="spellEnd"/>
      <w:r w:rsidRPr="00C84D4A">
        <w:rPr>
          <w:rFonts w:ascii="Arial" w:hAnsi="Arial" w:cs="Arial"/>
        </w:rPr>
        <w:t xml:space="preserve"> (</w:t>
      </w:r>
      <w:proofErr w:type="spellStart"/>
      <w:r w:rsidRPr="00C84D4A">
        <w:rPr>
          <w:rFonts w:ascii="Arial" w:hAnsi="Arial" w:cs="Arial"/>
        </w:rPr>
        <w:t>indicada</w:t>
      </w:r>
      <w:proofErr w:type="spellEnd"/>
      <w:r w:rsidRPr="00C84D4A">
        <w:rPr>
          <w:rFonts w:ascii="Arial" w:hAnsi="Arial" w:cs="Arial"/>
        </w:rPr>
        <w:t xml:space="preserve"> no </w:t>
      </w:r>
      <w:proofErr w:type="spellStart"/>
      <w:r w:rsidRPr="00C84D4A">
        <w:rPr>
          <w:rFonts w:ascii="Arial" w:hAnsi="Arial" w:cs="Arial"/>
        </w:rPr>
        <w:t>gráfico</w:t>
      </w:r>
      <w:proofErr w:type="spellEnd"/>
      <w:r w:rsidRPr="00C84D4A">
        <w:rPr>
          <w:rFonts w:ascii="Arial" w:hAnsi="Arial" w:cs="Arial"/>
        </w:rPr>
        <w:t>): ~7187.6</w:t>
      </w:r>
    </w:p>
    <w:p w14:paraId="6666D4F9" w14:textId="77777777" w:rsidR="00C84D4A" w:rsidRPr="00C84D4A" w:rsidRDefault="00C84D4A" w:rsidP="00C84D4A">
      <w:pPr>
        <w:numPr>
          <w:ilvl w:val="1"/>
          <w:numId w:val="2"/>
        </w:numPr>
        <w:spacing w:line="360" w:lineRule="auto"/>
        <w:jc w:val="both"/>
        <w:rPr>
          <w:rFonts w:ascii="Arial" w:hAnsi="Arial" w:cs="Arial"/>
          <w:lang w:val="pt-BR"/>
        </w:rPr>
      </w:pPr>
      <w:r w:rsidRPr="00C84D4A">
        <w:rPr>
          <w:rFonts w:ascii="Arial" w:hAnsi="Arial" w:cs="Arial"/>
          <w:lang w:val="pt-BR"/>
        </w:rPr>
        <w:t>IQR (Intervalo Interquartil): Q3 - Q1 = 11260.5 - 3746 = 7514.5</w:t>
      </w:r>
    </w:p>
    <w:p w14:paraId="1205333F" w14:textId="77777777" w:rsidR="00C84D4A" w:rsidRPr="00C84D4A" w:rsidRDefault="00C84D4A" w:rsidP="00C84D4A">
      <w:pPr>
        <w:numPr>
          <w:ilvl w:val="1"/>
          <w:numId w:val="2"/>
        </w:numPr>
        <w:spacing w:line="360" w:lineRule="auto"/>
        <w:jc w:val="both"/>
        <w:rPr>
          <w:rFonts w:ascii="Arial" w:hAnsi="Arial" w:cs="Arial"/>
          <w:lang w:val="pt-BR"/>
        </w:rPr>
      </w:pPr>
      <w:r w:rsidRPr="00C84D4A">
        <w:rPr>
          <w:rFonts w:ascii="Arial" w:hAnsi="Arial" w:cs="Arial"/>
          <w:lang w:val="pt-BR"/>
        </w:rPr>
        <w:t>A distância Mediana-Q1 (5925 - 3746 = 2179) é menor que a distância Q3-Mediana (11260.5 - 5925 = 5335.5), indicando que a parte superior da caixa do box-</w:t>
      </w:r>
      <w:proofErr w:type="spellStart"/>
      <w:r w:rsidRPr="00C84D4A">
        <w:rPr>
          <w:rFonts w:ascii="Arial" w:hAnsi="Arial" w:cs="Arial"/>
          <w:lang w:val="pt-BR"/>
        </w:rPr>
        <w:t>plot</w:t>
      </w:r>
      <w:proofErr w:type="spellEnd"/>
      <w:r w:rsidRPr="00C84D4A">
        <w:rPr>
          <w:rFonts w:ascii="Arial" w:hAnsi="Arial" w:cs="Arial"/>
          <w:lang w:val="pt-BR"/>
        </w:rPr>
        <w:t xml:space="preserve"> é mais longa.</w:t>
      </w:r>
    </w:p>
    <w:p w14:paraId="6C8BA2BE" w14:textId="77777777" w:rsidR="00C84D4A" w:rsidRPr="00C84D4A" w:rsidRDefault="00C84D4A" w:rsidP="00C84D4A">
      <w:pPr>
        <w:numPr>
          <w:ilvl w:val="1"/>
          <w:numId w:val="2"/>
        </w:numPr>
        <w:spacing w:line="360" w:lineRule="auto"/>
        <w:jc w:val="both"/>
        <w:rPr>
          <w:rFonts w:ascii="Arial" w:hAnsi="Arial" w:cs="Arial"/>
          <w:lang w:val="pt-BR"/>
        </w:rPr>
      </w:pPr>
      <w:r w:rsidRPr="00C84D4A">
        <w:rPr>
          <w:rFonts w:ascii="Arial" w:hAnsi="Arial" w:cs="Arial"/>
          <w:lang w:val="pt-BR"/>
        </w:rPr>
        <w:t>A Média (~7187.6) é consideravelmente maior que a Mediana (5925).</w:t>
      </w:r>
    </w:p>
    <w:p w14:paraId="43EF4F54" w14:textId="77777777" w:rsidR="00C84D4A" w:rsidRPr="00C84D4A" w:rsidRDefault="00C84D4A" w:rsidP="00C84D4A">
      <w:pPr>
        <w:numPr>
          <w:ilvl w:val="1"/>
          <w:numId w:val="2"/>
        </w:numPr>
        <w:spacing w:line="360" w:lineRule="auto"/>
        <w:jc w:val="both"/>
        <w:rPr>
          <w:rFonts w:ascii="Arial" w:hAnsi="Arial" w:cs="Arial"/>
          <w:lang w:val="pt-BR"/>
        </w:rPr>
      </w:pPr>
      <w:r w:rsidRPr="00C84D4A">
        <w:rPr>
          <w:rFonts w:ascii="Arial" w:hAnsi="Arial" w:cs="Arial"/>
          <w:lang w:val="pt-BR"/>
        </w:rPr>
        <w:t xml:space="preserve">Ambas as observações apontam para uma </w:t>
      </w:r>
      <w:r w:rsidRPr="00C84D4A">
        <w:rPr>
          <w:rFonts w:ascii="Arial" w:hAnsi="Arial" w:cs="Arial"/>
          <w:b/>
          <w:bCs/>
          <w:lang w:val="pt-BR"/>
        </w:rPr>
        <w:t>assimetria à direita</w:t>
      </w:r>
      <w:r w:rsidRPr="00C84D4A">
        <w:rPr>
          <w:rFonts w:ascii="Arial" w:hAnsi="Arial" w:cs="Arial"/>
          <w:lang w:val="pt-BR"/>
        </w:rPr>
        <w:t xml:space="preserve">. Isso sugere que a maioria das regiões tende a ter </w:t>
      </w:r>
      <w:proofErr w:type="gramStart"/>
      <w:r w:rsidRPr="00C84D4A">
        <w:rPr>
          <w:rFonts w:ascii="Arial" w:hAnsi="Arial" w:cs="Arial"/>
          <w:lang w:val="pt-BR"/>
        </w:rPr>
        <w:t>um número menor de</w:t>
      </w:r>
      <w:proofErr w:type="gramEnd"/>
      <w:r w:rsidRPr="00C84D4A">
        <w:rPr>
          <w:rFonts w:ascii="Arial" w:hAnsi="Arial" w:cs="Arial"/>
          <w:lang w:val="pt-BR"/>
        </w:rPr>
        <w:t xml:space="preserve"> óbitos por esta causa, mas algumas regiões (Nordeste e Sudeste) apresentam valores substancialmente mais altos, "puxando" a média para cima. Conclui-se que há uma </w:t>
      </w:r>
      <w:r w:rsidRPr="00C84D4A">
        <w:rPr>
          <w:rFonts w:ascii="Arial" w:hAnsi="Arial" w:cs="Arial"/>
          <w:b/>
          <w:bCs/>
          <w:lang w:val="pt-BR"/>
        </w:rPr>
        <w:t>concentração de dados em valores inferiores</w:t>
      </w:r>
      <w:r w:rsidRPr="00C84D4A">
        <w:rPr>
          <w:rFonts w:ascii="Arial" w:hAnsi="Arial" w:cs="Arial"/>
          <w:lang w:val="pt-BR"/>
        </w:rPr>
        <w:t>.</w:t>
      </w:r>
    </w:p>
    <w:p w14:paraId="4EC3308B" w14:textId="77777777" w:rsidR="00C84D4A" w:rsidRPr="00C84D4A" w:rsidRDefault="00C84D4A" w:rsidP="00C84D4A">
      <w:pPr>
        <w:numPr>
          <w:ilvl w:val="0"/>
          <w:numId w:val="2"/>
        </w:numPr>
        <w:spacing w:line="360" w:lineRule="auto"/>
        <w:jc w:val="both"/>
        <w:rPr>
          <w:rFonts w:ascii="Arial" w:hAnsi="Arial" w:cs="Arial"/>
        </w:rPr>
      </w:pPr>
      <w:proofErr w:type="spellStart"/>
      <w:r w:rsidRPr="00C84D4A">
        <w:rPr>
          <w:rFonts w:ascii="Arial" w:hAnsi="Arial" w:cs="Arial"/>
          <w:b/>
          <w:bCs/>
        </w:rPr>
        <w:t>Probabilidade</w:t>
      </w:r>
      <w:proofErr w:type="spellEnd"/>
      <w:r w:rsidRPr="00C84D4A">
        <w:rPr>
          <w:rFonts w:ascii="Arial" w:hAnsi="Arial" w:cs="Arial"/>
          <w:b/>
          <w:bCs/>
        </w:rPr>
        <w:t xml:space="preserve"> (</w:t>
      </w:r>
      <w:proofErr w:type="spellStart"/>
      <w:r w:rsidRPr="00C84D4A">
        <w:rPr>
          <w:rFonts w:ascii="Arial" w:hAnsi="Arial" w:cs="Arial"/>
          <w:b/>
          <w:bCs/>
        </w:rPr>
        <w:t>baseada</w:t>
      </w:r>
      <w:proofErr w:type="spellEnd"/>
      <w:r w:rsidRPr="00C84D4A">
        <w:rPr>
          <w:rFonts w:ascii="Arial" w:hAnsi="Arial" w:cs="Arial"/>
          <w:b/>
          <w:bCs/>
        </w:rPr>
        <w:t xml:space="preserve"> </w:t>
      </w:r>
      <w:proofErr w:type="spellStart"/>
      <w:r w:rsidRPr="00C84D4A">
        <w:rPr>
          <w:rFonts w:ascii="Arial" w:hAnsi="Arial" w:cs="Arial"/>
          <w:b/>
          <w:bCs/>
        </w:rPr>
        <w:t>nas</w:t>
      </w:r>
      <w:proofErr w:type="spellEnd"/>
      <w:r w:rsidRPr="00C84D4A">
        <w:rPr>
          <w:rFonts w:ascii="Arial" w:hAnsi="Arial" w:cs="Arial"/>
          <w:b/>
          <w:bCs/>
        </w:rPr>
        <w:t xml:space="preserve"> 5 </w:t>
      </w:r>
      <w:proofErr w:type="spellStart"/>
      <w:r w:rsidRPr="00C84D4A">
        <w:rPr>
          <w:rFonts w:ascii="Arial" w:hAnsi="Arial" w:cs="Arial"/>
          <w:b/>
          <w:bCs/>
        </w:rPr>
        <w:t>regiões</w:t>
      </w:r>
      <w:proofErr w:type="spellEnd"/>
      <w:r w:rsidRPr="00C84D4A">
        <w:rPr>
          <w:rFonts w:ascii="Arial" w:hAnsi="Arial" w:cs="Arial"/>
          <w:b/>
          <w:bCs/>
        </w:rPr>
        <w:t>):</w:t>
      </w:r>
    </w:p>
    <w:p w14:paraId="312A14F8" w14:textId="77777777" w:rsidR="00C84D4A" w:rsidRPr="00C84D4A" w:rsidRDefault="00C84D4A" w:rsidP="00C84D4A">
      <w:pPr>
        <w:numPr>
          <w:ilvl w:val="1"/>
          <w:numId w:val="2"/>
        </w:numPr>
        <w:spacing w:line="360" w:lineRule="auto"/>
        <w:jc w:val="both"/>
        <w:rPr>
          <w:rFonts w:ascii="Arial" w:hAnsi="Arial" w:cs="Arial"/>
          <w:lang w:val="pt-BR"/>
        </w:rPr>
      </w:pPr>
      <w:r w:rsidRPr="00C84D4A">
        <w:rPr>
          <w:rFonts w:ascii="Arial" w:hAnsi="Arial" w:cs="Arial"/>
          <w:lang w:val="pt-BR"/>
        </w:rPr>
        <w:lastRenderedPageBreak/>
        <w:t>Probabilidade de uma região ter óbitos acima da mediana (&gt; 5925): 2/5 = 40% (Regiões Nordeste e Sudeste).</w:t>
      </w:r>
    </w:p>
    <w:p w14:paraId="36734B15" w14:textId="77777777" w:rsidR="00C84D4A" w:rsidRPr="00C84D4A" w:rsidRDefault="00C84D4A" w:rsidP="00C84D4A">
      <w:pPr>
        <w:numPr>
          <w:ilvl w:val="1"/>
          <w:numId w:val="2"/>
        </w:numPr>
        <w:spacing w:line="360" w:lineRule="auto"/>
        <w:jc w:val="both"/>
        <w:rPr>
          <w:rFonts w:ascii="Arial" w:hAnsi="Arial" w:cs="Arial"/>
          <w:lang w:val="pt-BR"/>
        </w:rPr>
      </w:pPr>
      <w:r w:rsidRPr="00C84D4A">
        <w:rPr>
          <w:rFonts w:ascii="Arial" w:hAnsi="Arial" w:cs="Arial"/>
          <w:lang w:val="pt-BR"/>
        </w:rPr>
        <w:t>Probabilidade de uma região ter óbitos no quartil superior (acima do valor que define Q3, ou seja, os dois valores mais altos): 2/5 = 40%.</w:t>
      </w:r>
    </w:p>
    <w:p w14:paraId="00142812" w14:textId="77777777" w:rsidR="00C84D4A" w:rsidRPr="00C84D4A" w:rsidRDefault="00C84D4A" w:rsidP="00C84D4A">
      <w:pPr>
        <w:numPr>
          <w:ilvl w:val="1"/>
          <w:numId w:val="2"/>
        </w:numPr>
        <w:spacing w:line="360" w:lineRule="auto"/>
        <w:jc w:val="both"/>
        <w:rPr>
          <w:rFonts w:ascii="Arial" w:hAnsi="Arial" w:cs="Arial"/>
          <w:lang w:val="pt-BR"/>
        </w:rPr>
      </w:pPr>
      <w:r w:rsidRPr="00C84D4A">
        <w:rPr>
          <w:rFonts w:ascii="Arial" w:hAnsi="Arial" w:cs="Arial"/>
          <w:lang w:val="pt-BR"/>
        </w:rPr>
        <w:t>Probabilidade de uma região ter óbitos no quartil inferior (abaixo do valor que define Q1, ou seja, os dois valores mais baixos): 2/5 = 40%.</w:t>
      </w:r>
    </w:p>
    <w:p w14:paraId="2051D9F0" w14:textId="77777777" w:rsidR="00C84D4A" w:rsidRPr="00C84D4A" w:rsidRDefault="00C84D4A" w:rsidP="00C84D4A">
      <w:pPr>
        <w:spacing w:line="360" w:lineRule="auto"/>
        <w:jc w:val="both"/>
        <w:rPr>
          <w:rFonts w:ascii="Arial" w:hAnsi="Arial" w:cs="Arial"/>
          <w:lang w:val="pt-BR"/>
        </w:rPr>
      </w:pPr>
      <w:r w:rsidRPr="00C84D4A">
        <w:rPr>
          <w:rFonts w:ascii="Arial" w:hAnsi="Arial" w:cs="Arial"/>
          <w:b/>
          <w:bCs/>
          <w:lang w:val="pt-BR"/>
        </w:rPr>
        <w:t>3.2 Análise da Tabela/Box-</w:t>
      </w:r>
      <w:proofErr w:type="spellStart"/>
      <w:r w:rsidRPr="00C84D4A">
        <w:rPr>
          <w:rFonts w:ascii="Arial" w:hAnsi="Arial" w:cs="Arial"/>
          <w:b/>
          <w:bCs/>
          <w:lang w:val="pt-BR"/>
        </w:rPr>
        <w:t>Plot</w:t>
      </w:r>
      <w:proofErr w:type="spellEnd"/>
      <w:r w:rsidRPr="00C84D4A">
        <w:rPr>
          <w:rFonts w:ascii="Arial" w:hAnsi="Arial" w:cs="Arial"/>
          <w:b/>
          <w:bCs/>
          <w:lang w:val="pt-BR"/>
        </w:rPr>
        <w:t xml:space="preserve"> 2: Óbitos p/</w:t>
      </w:r>
      <w:proofErr w:type="spellStart"/>
      <w:r w:rsidRPr="00C84D4A">
        <w:rPr>
          <w:rFonts w:ascii="Arial" w:hAnsi="Arial" w:cs="Arial"/>
          <w:b/>
          <w:bCs/>
          <w:lang w:val="pt-BR"/>
        </w:rPr>
        <w:t>Residênc</w:t>
      </w:r>
      <w:proofErr w:type="spellEnd"/>
      <w:r w:rsidRPr="00C84D4A">
        <w:rPr>
          <w:rFonts w:ascii="Arial" w:hAnsi="Arial" w:cs="Arial"/>
          <w:b/>
          <w:bCs/>
          <w:lang w:val="pt-BR"/>
        </w:rPr>
        <w:t xml:space="preserve"> por Região (Local ocorrência: Via pública)</w:t>
      </w:r>
    </w:p>
    <w:p w14:paraId="7F2283C8" w14:textId="77777777" w:rsidR="00C84D4A" w:rsidRPr="00C84D4A" w:rsidRDefault="00C84D4A" w:rsidP="00C84D4A">
      <w:pPr>
        <w:numPr>
          <w:ilvl w:val="0"/>
          <w:numId w:val="3"/>
        </w:numPr>
        <w:spacing w:line="360" w:lineRule="auto"/>
        <w:jc w:val="both"/>
        <w:rPr>
          <w:rFonts w:ascii="Arial" w:hAnsi="Arial" w:cs="Arial"/>
          <w:lang w:val="pt-BR"/>
        </w:rPr>
      </w:pPr>
      <w:r w:rsidRPr="00C84D4A">
        <w:rPr>
          <w:rFonts w:ascii="Arial" w:hAnsi="Arial" w:cs="Arial"/>
          <w:b/>
          <w:bCs/>
          <w:lang w:val="pt-BR"/>
        </w:rPr>
        <w:t>Dados Regionais:</w:t>
      </w:r>
      <w:r w:rsidRPr="00C84D4A">
        <w:rPr>
          <w:rFonts w:ascii="Arial" w:hAnsi="Arial" w:cs="Arial"/>
          <w:lang w:val="pt-BR"/>
        </w:rPr>
        <w:t xml:space="preserve"> Região Norte: 5328; Região Nordeste: 18373; Região Sudeste: 15426; Região Sul: 6922; Região Centro-Oeste: 4250.</w:t>
      </w:r>
    </w:p>
    <w:p w14:paraId="6A2694F4" w14:textId="77777777" w:rsidR="00C84D4A" w:rsidRPr="00C84D4A" w:rsidRDefault="00C84D4A" w:rsidP="00C84D4A">
      <w:pPr>
        <w:numPr>
          <w:ilvl w:val="1"/>
          <w:numId w:val="3"/>
        </w:numPr>
        <w:spacing w:line="360" w:lineRule="auto"/>
        <w:jc w:val="both"/>
        <w:rPr>
          <w:rFonts w:ascii="Arial" w:hAnsi="Arial" w:cs="Arial"/>
        </w:rPr>
      </w:pPr>
      <w:proofErr w:type="spellStart"/>
      <w:r w:rsidRPr="00C84D4A">
        <w:rPr>
          <w:rFonts w:ascii="Arial" w:hAnsi="Arial" w:cs="Arial"/>
        </w:rPr>
        <w:t>Ordenados</w:t>
      </w:r>
      <w:proofErr w:type="spellEnd"/>
      <w:r w:rsidRPr="00C84D4A">
        <w:rPr>
          <w:rFonts w:ascii="Arial" w:hAnsi="Arial" w:cs="Arial"/>
        </w:rPr>
        <w:t>: 4250, 5328, 6922, 15426, 18373.</w:t>
      </w:r>
    </w:p>
    <w:p w14:paraId="652D33DF" w14:textId="77777777" w:rsidR="00C84D4A" w:rsidRPr="00C84D4A" w:rsidRDefault="00C84D4A" w:rsidP="00C84D4A">
      <w:pPr>
        <w:numPr>
          <w:ilvl w:val="0"/>
          <w:numId w:val="3"/>
        </w:numPr>
        <w:spacing w:line="360" w:lineRule="auto"/>
        <w:jc w:val="both"/>
        <w:rPr>
          <w:rFonts w:ascii="Arial" w:hAnsi="Arial" w:cs="Arial"/>
          <w:lang w:val="pt-BR"/>
        </w:rPr>
      </w:pPr>
      <w:r w:rsidRPr="00C84D4A">
        <w:rPr>
          <w:rFonts w:ascii="Arial" w:hAnsi="Arial" w:cs="Arial"/>
          <w:b/>
          <w:bCs/>
          <w:lang w:val="pt-BR"/>
        </w:rPr>
        <w:t>Análise de Concentração e Assimetria (com base nos valores calculados e no gráfico):</w:t>
      </w:r>
    </w:p>
    <w:p w14:paraId="122BED0C" w14:textId="77777777" w:rsidR="00C84D4A" w:rsidRPr="00C84D4A" w:rsidRDefault="00C84D4A" w:rsidP="00C84D4A">
      <w:pPr>
        <w:numPr>
          <w:ilvl w:val="1"/>
          <w:numId w:val="3"/>
        </w:numPr>
        <w:spacing w:line="360" w:lineRule="auto"/>
        <w:jc w:val="both"/>
        <w:rPr>
          <w:rFonts w:ascii="Arial" w:hAnsi="Arial" w:cs="Arial"/>
        </w:rPr>
      </w:pPr>
      <w:proofErr w:type="spellStart"/>
      <w:r w:rsidRPr="00C84D4A">
        <w:rPr>
          <w:rFonts w:ascii="Arial" w:hAnsi="Arial" w:cs="Arial"/>
        </w:rPr>
        <w:t>Mínimo</w:t>
      </w:r>
      <w:proofErr w:type="spellEnd"/>
      <w:r w:rsidRPr="00C84D4A">
        <w:rPr>
          <w:rFonts w:ascii="Arial" w:hAnsi="Arial" w:cs="Arial"/>
        </w:rPr>
        <w:t>: 4250</w:t>
      </w:r>
    </w:p>
    <w:p w14:paraId="3A31A294" w14:textId="77777777" w:rsidR="00C84D4A" w:rsidRPr="00C84D4A" w:rsidRDefault="00C84D4A" w:rsidP="00C84D4A">
      <w:pPr>
        <w:numPr>
          <w:ilvl w:val="1"/>
          <w:numId w:val="3"/>
        </w:numPr>
        <w:spacing w:line="360" w:lineRule="auto"/>
        <w:jc w:val="both"/>
        <w:rPr>
          <w:rFonts w:ascii="Arial" w:hAnsi="Arial" w:cs="Arial"/>
        </w:rPr>
      </w:pPr>
      <w:r w:rsidRPr="00C84D4A">
        <w:rPr>
          <w:rFonts w:ascii="Arial" w:hAnsi="Arial" w:cs="Arial"/>
        </w:rPr>
        <w:t>Q1: (4250 + 5328) / 2 = 4789</w:t>
      </w:r>
    </w:p>
    <w:p w14:paraId="1D36CA9B" w14:textId="77777777" w:rsidR="00C84D4A" w:rsidRPr="00C84D4A" w:rsidRDefault="00C84D4A" w:rsidP="00C84D4A">
      <w:pPr>
        <w:numPr>
          <w:ilvl w:val="1"/>
          <w:numId w:val="3"/>
        </w:numPr>
        <w:spacing w:line="360" w:lineRule="auto"/>
        <w:jc w:val="both"/>
        <w:rPr>
          <w:rFonts w:ascii="Arial" w:hAnsi="Arial" w:cs="Arial"/>
        </w:rPr>
      </w:pPr>
      <w:r w:rsidRPr="00C84D4A">
        <w:rPr>
          <w:rFonts w:ascii="Arial" w:hAnsi="Arial" w:cs="Arial"/>
        </w:rPr>
        <w:t>Mediana: 6922</w:t>
      </w:r>
    </w:p>
    <w:p w14:paraId="5A0750AF" w14:textId="77777777" w:rsidR="00C84D4A" w:rsidRPr="00C84D4A" w:rsidRDefault="00C84D4A" w:rsidP="00C84D4A">
      <w:pPr>
        <w:numPr>
          <w:ilvl w:val="1"/>
          <w:numId w:val="3"/>
        </w:numPr>
        <w:spacing w:line="360" w:lineRule="auto"/>
        <w:jc w:val="both"/>
        <w:rPr>
          <w:rFonts w:ascii="Arial" w:hAnsi="Arial" w:cs="Arial"/>
        </w:rPr>
      </w:pPr>
      <w:r w:rsidRPr="00C84D4A">
        <w:rPr>
          <w:rFonts w:ascii="Arial" w:hAnsi="Arial" w:cs="Arial"/>
        </w:rPr>
        <w:t>Q3: (15426 + 18373) / 2 = 16899.5</w:t>
      </w:r>
    </w:p>
    <w:p w14:paraId="65AF2223" w14:textId="77777777" w:rsidR="00C84D4A" w:rsidRPr="00C84D4A" w:rsidRDefault="00C84D4A" w:rsidP="00C84D4A">
      <w:pPr>
        <w:numPr>
          <w:ilvl w:val="1"/>
          <w:numId w:val="3"/>
        </w:numPr>
        <w:spacing w:line="360" w:lineRule="auto"/>
        <w:jc w:val="both"/>
        <w:rPr>
          <w:rFonts w:ascii="Arial" w:hAnsi="Arial" w:cs="Arial"/>
        </w:rPr>
      </w:pPr>
      <w:r w:rsidRPr="00C84D4A">
        <w:rPr>
          <w:rFonts w:ascii="Arial" w:hAnsi="Arial" w:cs="Arial"/>
        </w:rPr>
        <w:t>Máximo: 18373</w:t>
      </w:r>
    </w:p>
    <w:p w14:paraId="0ABD8D62" w14:textId="77777777" w:rsidR="00C84D4A" w:rsidRPr="00C84D4A" w:rsidRDefault="00C84D4A" w:rsidP="00C84D4A">
      <w:pPr>
        <w:numPr>
          <w:ilvl w:val="1"/>
          <w:numId w:val="3"/>
        </w:numPr>
        <w:spacing w:line="360" w:lineRule="auto"/>
        <w:jc w:val="both"/>
        <w:rPr>
          <w:rFonts w:ascii="Arial" w:hAnsi="Arial" w:cs="Arial"/>
        </w:rPr>
      </w:pPr>
      <w:proofErr w:type="spellStart"/>
      <w:r w:rsidRPr="00C84D4A">
        <w:rPr>
          <w:rFonts w:ascii="Arial" w:hAnsi="Arial" w:cs="Arial"/>
        </w:rPr>
        <w:t>Média</w:t>
      </w:r>
      <w:proofErr w:type="spellEnd"/>
      <w:r w:rsidRPr="00C84D4A">
        <w:rPr>
          <w:rFonts w:ascii="Arial" w:hAnsi="Arial" w:cs="Arial"/>
        </w:rPr>
        <w:t xml:space="preserve"> (</w:t>
      </w:r>
      <w:proofErr w:type="spellStart"/>
      <w:r w:rsidRPr="00C84D4A">
        <w:rPr>
          <w:rFonts w:ascii="Arial" w:hAnsi="Arial" w:cs="Arial"/>
        </w:rPr>
        <w:t>indicada</w:t>
      </w:r>
      <w:proofErr w:type="spellEnd"/>
      <w:r w:rsidRPr="00C84D4A">
        <w:rPr>
          <w:rFonts w:ascii="Arial" w:hAnsi="Arial" w:cs="Arial"/>
        </w:rPr>
        <w:t xml:space="preserve"> no </w:t>
      </w:r>
      <w:proofErr w:type="spellStart"/>
      <w:r w:rsidRPr="00C84D4A">
        <w:rPr>
          <w:rFonts w:ascii="Arial" w:hAnsi="Arial" w:cs="Arial"/>
        </w:rPr>
        <w:t>gráfico</w:t>
      </w:r>
      <w:proofErr w:type="spellEnd"/>
      <w:r w:rsidRPr="00C84D4A">
        <w:rPr>
          <w:rFonts w:ascii="Arial" w:hAnsi="Arial" w:cs="Arial"/>
        </w:rPr>
        <w:t>): ~10059.8</w:t>
      </w:r>
    </w:p>
    <w:p w14:paraId="24E594F6" w14:textId="77777777" w:rsidR="00C84D4A" w:rsidRPr="00C84D4A" w:rsidRDefault="00C84D4A" w:rsidP="00C84D4A">
      <w:pPr>
        <w:numPr>
          <w:ilvl w:val="1"/>
          <w:numId w:val="3"/>
        </w:numPr>
        <w:spacing w:line="360" w:lineRule="auto"/>
        <w:jc w:val="both"/>
        <w:rPr>
          <w:rFonts w:ascii="Arial" w:hAnsi="Arial" w:cs="Arial"/>
        </w:rPr>
      </w:pPr>
      <w:r w:rsidRPr="00C84D4A">
        <w:rPr>
          <w:rFonts w:ascii="Arial" w:hAnsi="Arial" w:cs="Arial"/>
        </w:rPr>
        <w:t>IQR: 16899.5 - 4789 = 12110.5</w:t>
      </w:r>
    </w:p>
    <w:p w14:paraId="1690693A" w14:textId="77777777" w:rsidR="00C84D4A" w:rsidRPr="00C84D4A" w:rsidRDefault="00C84D4A" w:rsidP="00C84D4A">
      <w:pPr>
        <w:numPr>
          <w:ilvl w:val="1"/>
          <w:numId w:val="3"/>
        </w:numPr>
        <w:spacing w:line="360" w:lineRule="auto"/>
        <w:jc w:val="both"/>
        <w:rPr>
          <w:rFonts w:ascii="Arial" w:hAnsi="Arial" w:cs="Arial"/>
        </w:rPr>
      </w:pPr>
      <w:r w:rsidRPr="00C84D4A">
        <w:rPr>
          <w:rFonts w:ascii="Arial" w:hAnsi="Arial" w:cs="Arial"/>
          <w:lang w:val="pt-BR"/>
        </w:rPr>
        <w:t xml:space="preserve">A distância Mediana-Q1 (6922 - 4789 = 2133) é significativamente menor que a distância Q3-Mediana (16899.5 - 6922 = 9977.5). </w:t>
      </w:r>
      <w:r w:rsidRPr="00C84D4A">
        <w:rPr>
          <w:rFonts w:ascii="Arial" w:hAnsi="Arial" w:cs="Arial"/>
        </w:rPr>
        <w:t xml:space="preserve">A </w:t>
      </w:r>
      <w:proofErr w:type="spellStart"/>
      <w:r w:rsidRPr="00C84D4A">
        <w:rPr>
          <w:rFonts w:ascii="Arial" w:hAnsi="Arial" w:cs="Arial"/>
        </w:rPr>
        <w:t>parte</w:t>
      </w:r>
      <w:proofErr w:type="spellEnd"/>
      <w:r w:rsidRPr="00C84D4A">
        <w:rPr>
          <w:rFonts w:ascii="Arial" w:hAnsi="Arial" w:cs="Arial"/>
        </w:rPr>
        <w:t xml:space="preserve"> superior da </w:t>
      </w:r>
      <w:proofErr w:type="spellStart"/>
      <w:r w:rsidRPr="00C84D4A">
        <w:rPr>
          <w:rFonts w:ascii="Arial" w:hAnsi="Arial" w:cs="Arial"/>
        </w:rPr>
        <w:t>caixa</w:t>
      </w:r>
      <w:proofErr w:type="spellEnd"/>
      <w:r w:rsidRPr="00C84D4A">
        <w:rPr>
          <w:rFonts w:ascii="Arial" w:hAnsi="Arial" w:cs="Arial"/>
        </w:rPr>
        <w:t xml:space="preserve"> é </w:t>
      </w:r>
      <w:proofErr w:type="spellStart"/>
      <w:r w:rsidRPr="00C84D4A">
        <w:rPr>
          <w:rFonts w:ascii="Arial" w:hAnsi="Arial" w:cs="Arial"/>
        </w:rPr>
        <w:t>muito</w:t>
      </w:r>
      <w:proofErr w:type="spellEnd"/>
      <w:r w:rsidRPr="00C84D4A">
        <w:rPr>
          <w:rFonts w:ascii="Arial" w:hAnsi="Arial" w:cs="Arial"/>
        </w:rPr>
        <w:t xml:space="preserve"> </w:t>
      </w:r>
      <w:proofErr w:type="spellStart"/>
      <w:r w:rsidRPr="00C84D4A">
        <w:rPr>
          <w:rFonts w:ascii="Arial" w:hAnsi="Arial" w:cs="Arial"/>
        </w:rPr>
        <w:t>mais</w:t>
      </w:r>
      <w:proofErr w:type="spellEnd"/>
      <w:r w:rsidRPr="00C84D4A">
        <w:rPr>
          <w:rFonts w:ascii="Arial" w:hAnsi="Arial" w:cs="Arial"/>
        </w:rPr>
        <w:t xml:space="preserve"> longa.</w:t>
      </w:r>
    </w:p>
    <w:p w14:paraId="3D2190F7" w14:textId="77777777" w:rsidR="00C84D4A" w:rsidRPr="00C84D4A" w:rsidRDefault="00C84D4A" w:rsidP="00C84D4A">
      <w:pPr>
        <w:numPr>
          <w:ilvl w:val="1"/>
          <w:numId w:val="3"/>
        </w:numPr>
        <w:spacing w:line="360" w:lineRule="auto"/>
        <w:jc w:val="both"/>
        <w:rPr>
          <w:rFonts w:ascii="Arial" w:hAnsi="Arial" w:cs="Arial"/>
          <w:lang w:val="pt-BR"/>
        </w:rPr>
      </w:pPr>
      <w:r w:rsidRPr="00C84D4A">
        <w:rPr>
          <w:rFonts w:ascii="Arial" w:hAnsi="Arial" w:cs="Arial"/>
          <w:lang w:val="pt-BR"/>
        </w:rPr>
        <w:t>A Média (~10059.8) é substancialmente maior que a Mediana (6922).</w:t>
      </w:r>
    </w:p>
    <w:p w14:paraId="4BC324BA" w14:textId="77777777" w:rsidR="00C84D4A" w:rsidRPr="00C84D4A" w:rsidRDefault="00C84D4A" w:rsidP="00C84D4A">
      <w:pPr>
        <w:numPr>
          <w:ilvl w:val="1"/>
          <w:numId w:val="3"/>
        </w:numPr>
        <w:spacing w:line="360" w:lineRule="auto"/>
        <w:jc w:val="both"/>
        <w:rPr>
          <w:rFonts w:ascii="Arial" w:hAnsi="Arial" w:cs="Arial"/>
        </w:rPr>
      </w:pPr>
      <w:r w:rsidRPr="00C84D4A">
        <w:rPr>
          <w:rFonts w:ascii="Arial" w:hAnsi="Arial" w:cs="Arial"/>
          <w:lang w:val="pt-BR"/>
        </w:rPr>
        <w:lastRenderedPageBreak/>
        <w:t xml:space="preserve">Esses indicadores demonstram uma </w:t>
      </w:r>
      <w:r w:rsidRPr="00C84D4A">
        <w:rPr>
          <w:rFonts w:ascii="Arial" w:hAnsi="Arial" w:cs="Arial"/>
          <w:b/>
          <w:bCs/>
          <w:lang w:val="pt-BR"/>
        </w:rPr>
        <w:t>forte assimetria à direita</w:t>
      </w:r>
      <w:r w:rsidRPr="00C84D4A">
        <w:rPr>
          <w:rFonts w:ascii="Arial" w:hAnsi="Arial" w:cs="Arial"/>
          <w:lang w:val="pt-BR"/>
        </w:rPr>
        <w:t xml:space="preserve">. A maioria das regiões apresenta um total de óbitos em vias públicas relativamente mais baixo, enquanto duas regiões (Nordeste e Sudeste) possuem valores muito elevados. </w:t>
      </w:r>
      <w:proofErr w:type="spellStart"/>
      <w:r w:rsidRPr="00C84D4A">
        <w:rPr>
          <w:rFonts w:ascii="Arial" w:hAnsi="Arial" w:cs="Arial"/>
        </w:rPr>
        <w:t>Há</w:t>
      </w:r>
      <w:proofErr w:type="spellEnd"/>
      <w:r w:rsidRPr="00C84D4A">
        <w:rPr>
          <w:rFonts w:ascii="Arial" w:hAnsi="Arial" w:cs="Arial"/>
        </w:rPr>
        <w:t xml:space="preserve"> </w:t>
      </w:r>
      <w:proofErr w:type="spellStart"/>
      <w:r w:rsidRPr="00C84D4A">
        <w:rPr>
          <w:rFonts w:ascii="Arial" w:hAnsi="Arial" w:cs="Arial"/>
        </w:rPr>
        <w:t>uma</w:t>
      </w:r>
      <w:proofErr w:type="spellEnd"/>
      <w:r w:rsidRPr="00C84D4A">
        <w:rPr>
          <w:rFonts w:ascii="Arial" w:hAnsi="Arial" w:cs="Arial"/>
        </w:rPr>
        <w:t xml:space="preserve"> </w:t>
      </w:r>
      <w:proofErr w:type="spellStart"/>
      <w:r w:rsidRPr="00C84D4A">
        <w:rPr>
          <w:rFonts w:ascii="Arial" w:hAnsi="Arial" w:cs="Arial"/>
        </w:rPr>
        <w:t>clara</w:t>
      </w:r>
      <w:proofErr w:type="spellEnd"/>
      <w:r w:rsidRPr="00C84D4A">
        <w:rPr>
          <w:rFonts w:ascii="Arial" w:hAnsi="Arial" w:cs="Arial"/>
        </w:rPr>
        <w:t xml:space="preserve"> </w:t>
      </w:r>
      <w:proofErr w:type="spellStart"/>
      <w:r w:rsidRPr="00C84D4A">
        <w:rPr>
          <w:rFonts w:ascii="Arial" w:hAnsi="Arial" w:cs="Arial"/>
          <w:b/>
          <w:bCs/>
        </w:rPr>
        <w:t>concentração</w:t>
      </w:r>
      <w:proofErr w:type="spellEnd"/>
      <w:r w:rsidRPr="00C84D4A">
        <w:rPr>
          <w:rFonts w:ascii="Arial" w:hAnsi="Arial" w:cs="Arial"/>
          <w:b/>
          <w:bCs/>
        </w:rPr>
        <w:t xml:space="preserve"> de dados </w:t>
      </w:r>
      <w:proofErr w:type="spellStart"/>
      <w:r w:rsidRPr="00C84D4A">
        <w:rPr>
          <w:rFonts w:ascii="Arial" w:hAnsi="Arial" w:cs="Arial"/>
          <w:b/>
          <w:bCs/>
        </w:rPr>
        <w:t>em</w:t>
      </w:r>
      <w:proofErr w:type="spellEnd"/>
      <w:r w:rsidRPr="00C84D4A">
        <w:rPr>
          <w:rFonts w:ascii="Arial" w:hAnsi="Arial" w:cs="Arial"/>
          <w:b/>
          <w:bCs/>
        </w:rPr>
        <w:t xml:space="preserve"> </w:t>
      </w:r>
      <w:proofErr w:type="spellStart"/>
      <w:r w:rsidRPr="00C84D4A">
        <w:rPr>
          <w:rFonts w:ascii="Arial" w:hAnsi="Arial" w:cs="Arial"/>
          <w:b/>
          <w:bCs/>
        </w:rPr>
        <w:t>valores</w:t>
      </w:r>
      <w:proofErr w:type="spellEnd"/>
      <w:r w:rsidRPr="00C84D4A">
        <w:rPr>
          <w:rFonts w:ascii="Arial" w:hAnsi="Arial" w:cs="Arial"/>
          <w:b/>
          <w:bCs/>
        </w:rPr>
        <w:t xml:space="preserve"> </w:t>
      </w:r>
      <w:proofErr w:type="spellStart"/>
      <w:r w:rsidRPr="00C84D4A">
        <w:rPr>
          <w:rFonts w:ascii="Arial" w:hAnsi="Arial" w:cs="Arial"/>
          <w:b/>
          <w:bCs/>
        </w:rPr>
        <w:t>inferiores</w:t>
      </w:r>
      <w:proofErr w:type="spellEnd"/>
      <w:r w:rsidRPr="00C84D4A">
        <w:rPr>
          <w:rFonts w:ascii="Arial" w:hAnsi="Arial" w:cs="Arial"/>
        </w:rPr>
        <w:t>.</w:t>
      </w:r>
    </w:p>
    <w:p w14:paraId="1864DAF9" w14:textId="77777777" w:rsidR="00C84D4A" w:rsidRPr="00C84D4A" w:rsidRDefault="00C84D4A" w:rsidP="00C84D4A">
      <w:pPr>
        <w:numPr>
          <w:ilvl w:val="0"/>
          <w:numId w:val="3"/>
        </w:numPr>
        <w:spacing w:line="360" w:lineRule="auto"/>
        <w:jc w:val="both"/>
        <w:rPr>
          <w:rFonts w:ascii="Arial" w:hAnsi="Arial" w:cs="Arial"/>
        </w:rPr>
      </w:pPr>
      <w:proofErr w:type="spellStart"/>
      <w:r w:rsidRPr="00C84D4A">
        <w:rPr>
          <w:rFonts w:ascii="Arial" w:hAnsi="Arial" w:cs="Arial"/>
          <w:b/>
          <w:bCs/>
        </w:rPr>
        <w:t>Probabilidade</w:t>
      </w:r>
      <w:proofErr w:type="spellEnd"/>
      <w:r w:rsidRPr="00C84D4A">
        <w:rPr>
          <w:rFonts w:ascii="Arial" w:hAnsi="Arial" w:cs="Arial"/>
          <w:b/>
          <w:bCs/>
        </w:rPr>
        <w:t xml:space="preserve"> (</w:t>
      </w:r>
      <w:proofErr w:type="spellStart"/>
      <w:r w:rsidRPr="00C84D4A">
        <w:rPr>
          <w:rFonts w:ascii="Arial" w:hAnsi="Arial" w:cs="Arial"/>
          <w:b/>
          <w:bCs/>
        </w:rPr>
        <w:t>baseada</w:t>
      </w:r>
      <w:proofErr w:type="spellEnd"/>
      <w:r w:rsidRPr="00C84D4A">
        <w:rPr>
          <w:rFonts w:ascii="Arial" w:hAnsi="Arial" w:cs="Arial"/>
          <w:b/>
          <w:bCs/>
        </w:rPr>
        <w:t xml:space="preserve"> </w:t>
      </w:r>
      <w:proofErr w:type="spellStart"/>
      <w:r w:rsidRPr="00C84D4A">
        <w:rPr>
          <w:rFonts w:ascii="Arial" w:hAnsi="Arial" w:cs="Arial"/>
          <w:b/>
          <w:bCs/>
        </w:rPr>
        <w:t>nas</w:t>
      </w:r>
      <w:proofErr w:type="spellEnd"/>
      <w:r w:rsidRPr="00C84D4A">
        <w:rPr>
          <w:rFonts w:ascii="Arial" w:hAnsi="Arial" w:cs="Arial"/>
          <w:b/>
          <w:bCs/>
        </w:rPr>
        <w:t xml:space="preserve"> 5 </w:t>
      </w:r>
      <w:proofErr w:type="spellStart"/>
      <w:r w:rsidRPr="00C84D4A">
        <w:rPr>
          <w:rFonts w:ascii="Arial" w:hAnsi="Arial" w:cs="Arial"/>
          <w:b/>
          <w:bCs/>
        </w:rPr>
        <w:t>regiões</w:t>
      </w:r>
      <w:proofErr w:type="spellEnd"/>
      <w:r w:rsidRPr="00C84D4A">
        <w:rPr>
          <w:rFonts w:ascii="Arial" w:hAnsi="Arial" w:cs="Arial"/>
          <w:b/>
          <w:bCs/>
        </w:rPr>
        <w:t>):</w:t>
      </w:r>
    </w:p>
    <w:p w14:paraId="70314F68" w14:textId="77777777" w:rsidR="00C84D4A" w:rsidRPr="00C84D4A" w:rsidRDefault="00C84D4A" w:rsidP="00C84D4A">
      <w:pPr>
        <w:numPr>
          <w:ilvl w:val="1"/>
          <w:numId w:val="3"/>
        </w:numPr>
        <w:spacing w:line="360" w:lineRule="auto"/>
        <w:jc w:val="both"/>
        <w:rPr>
          <w:rFonts w:ascii="Arial" w:hAnsi="Arial" w:cs="Arial"/>
          <w:lang w:val="pt-BR"/>
        </w:rPr>
      </w:pPr>
      <w:r w:rsidRPr="00C84D4A">
        <w:rPr>
          <w:rFonts w:ascii="Arial" w:hAnsi="Arial" w:cs="Arial"/>
          <w:lang w:val="pt-BR"/>
        </w:rPr>
        <w:t>Probabilidade de uma região ter óbitos totais em vias públicas acima da mediana (&gt; 6922): 2/5 = 40% (Regiões Nordeste e Sudeste).</w:t>
      </w:r>
    </w:p>
    <w:p w14:paraId="2EC03787" w14:textId="77777777" w:rsidR="00C84D4A" w:rsidRPr="00C84D4A" w:rsidRDefault="00C84D4A" w:rsidP="00C84D4A">
      <w:pPr>
        <w:numPr>
          <w:ilvl w:val="1"/>
          <w:numId w:val="3"/>
        </w:numPr>
        <w:spacing w:line="360" w:lineRule="auto"/>
        <w:jc w:val="both"/>
        <w:rPr>
          <w:rFonts w:ascii="Arial" w:hAnsi="Arial" w:cs="Arial"/>
          <w:lang w:val="pt-BR"/>
        </w:rPr>
      </w:pPr>
      <w:r w:rsidRPr="00C84D4A">
        <w:rPr>
          <w:rFonts w:ascii="Arial" w:hAnsi="Arial" w:cs="Arial"/>
          <w:lang w:val="pt-BR"/>
        </w:rPr>
        <w:t>Probabilidade de uma região ter óbitos acima de Q3 (&gt; 16899.5): 1/5 = 20% (Região Nordeste).</w:t>
      </w:r>
    </w:p>
    <w:p w14:paraId="1F1EFB81" w14:textId="77777777" w:rsidR="00C84D4A" w:rsidRPr="00C84D4A" w:rsidRDefault="00C84D4A" w:rsidP="00C84D4A">
      <w:pPr>
        <w:numPr>
          <w:ilvl w:val="1"/>
          <w:numId w:val="3"/>
        </w:numPr>
        <w:spacing w:line="360" w:lineRule="auto"/>
        <w:jc w:val="both"/>
        <w:rPr>
          <w:rFonts w:ascii="Arial" w:hAnsi="Arial" w:cs="Arial"/>
          <w:lang w:val="pt-BR"/>
        </w:rPr>
      </w:pPr>
      <w:r w:rsidRPr="00C84D4A">
        <w:rPr>
          <w:rFonts w:ascii="Arial" w:hAnsi="Arial" w:cs="Arial"/>
          <w:lang w:val="pt-BR"/>
        </w:rPr>
        <w:t>Probabilidade de uma região ter óbitos abaixo de Q1 (&lt; 4789): 1/5 = 20% (Região Centro-Oeste).</w:t>
      </w:r>
    </w:p>
    <w:p w14:paraId="02A345F4" w14:textId="77777777" w:rsidR="00C84D4A" w:rsidRPr="00C84D4A" w:rsidRDefault="00C84D4A" w:rsidP="00C84D4A">
      <w:pPr>
        <w:spacing w:line="360" w:lineRule="auto"/>
        <w:jc w:val="both"/>
        <w:rPr>
          <w:rFonts w:ascii="Arial" w:hAnsi="Arial" w:cs="Arial"/>
          <w:lang w:val="pt-BR"/>
        </w:rPr>
      </w:pPr>
      <w:r w:rsidRPr="00C84D4A">
        <w:rPr>
          <w:rFonts w:ascii="Arial" w:hAnsi="Arial" w:cs="Arial"/>
          <w:b/>
          <w:bCs/>
          <w:lang w:val="pt-BR"/>
        </w:rPr>
        <w:t>3.3 Análise da Tabela/Box-</w:t>
      </w:r>
      <w:proofErr w:type="spellStart"/>
      <w:r w:rsidRPr="00C84D4A">
        <w:rPr>
          <w:rFonts w:ascii="Arial" w:hAnsi="Arial" w:cs="Arial"/>
          <w:b/>
          <w:bCs/>
          <w:lang w:val="pt-BR"/>
        </w:rPr>
        <w:t>Plot</w:t>
      </w:r>
      <w:proofErr w:type="spellEnd"/>
      <w:r w:rsidRPr="00C84D4A">
        <w:rPr>
          <w:rFonts w:ascii="Arial" w:hAnsi="Arial" w:cs="Arial"/>
          <w:b/>
          <w:bCs/>
          <w:lang w:val="pt-BR"/>
        </w:rPr>
        <w:t xml:space="preserve"> 3: Óbitos p/</w:t>
      </w:r>
      <w:proofErr w:type="spellStart"/>
      <w:r w:rsidRPr="00C84D4A">
        <w:rPr>
          <w:rFonts w:ascii="Arial" w:hAnsi="Arial" w:cs="Arial"/>
          <w:b/>
          <w:bCs/>
          <w:lang w:val="pt-BR"/>
        </w:rPr>
        <w:t>Residênc</w:t>
      </w:r>
      <w:proofErr w:type="spellEnd"/>
      <w:r w:rsidRPr="00C84D4A">
        <w:rPr>
          <w:rFonts w:ascii="Arial" w:hAnsi="Arial" w:cs="Arial"/>
          <w:b/>
          <w:bCs/>
          <w:lang w:val="pt-BR"/>
        </w:rPr>
        <w:t xml:space="preserve"> por Região (Causa - CID-BR-10: 104 Acidentes de transporte; Local ocorrência: Via pública)</w:t>
      </w:r>
    </w:p>
    <w:p w14:paraId="4CBF5D0F" w14:textId="77777777" w:rsidR="00C84D4A" w:rsidRPr="00C84D4A" w:rsidRDefault="00C84D4A" w:rsidP="00C84D4A">
      <w:pPr>
        <w:numPr>
          <w:ilvl w:val="0"/>
          <w:numId w:val="4"/>
        </w:numPr>
        <w:spacing w:line="360" w:lineRule="auto"/>
        <w:jc w:val="both"/>
        <w:rPr>
          <w:rFonts w:ascii="Arial" w:hAnsi="Arial" w:cs="Arial"/>
          <w:lang w:val="pt-BR"/>
        </w:rPr>
      </w:pPr>
      <w:r w:rsidRPr="00C84D4A">
        <w:rPr>
          <w:rFonts w:ascii="Arial" w:hAnsi="Arial" w:cs="Arial"/>
          <w:b/>
          <w:bCs/>
          <w:lang w:val="pt-BR"/>
        </w:rPr>
        <w:t>Dados Regionais:</w:t>
      </w:r>
      <w:r w:rsidRPr="00C84D4A">
        <w:rPr>
          <w:rFonts w:ascii="Arial" w:hAnsi="Arial" w:cs="Arial"/>
          <w:lang w:val="pt-BR"/>
        </w:rPr>
        <w:t xml:space="preserve"> Região Norte: 1805; Região Nordeste: 5714; Região Sudeste: 5541; Região Sul: 3291; Região Centro-Oeste: 2056.</w:t>
      </w:r>
    </w:p>
    <w:p w14:paraId="6461E3DD" w14:textId="77777777" w:rsidR="00C84D4A" w:rsidRPr="00C84D4A" w:rsidRDefault="00C84D4A" w:rsidP="00C84D4A">
      <w:pPr>
        <w:numPr>
          <w:ilvl w:val="1"/>
          <w:numId w:val="4"/>
        </w:numPr>
        <w:spacing w:line="360" w:lineRule="auto"/>
        <w:jc w:val="both"/>
        <w:rPr>
          <w:rFonts w:ascii="Arial" w:hAnsi="Arial" w:cs="Arial"/>
        </w:rPr>
      </w:pPr>
      <w:proofErr w:type="spellStart"/>
      <w:r w:rsidRPr="00C84D4A">
        <w:rPr>
          <w:rFonts w:ascii="Arial" w:hAnsi="Arial" w:cs="Arial"/>
        </w:rPr>
        <w:t>Ordenados</w:t>
      </w:r>
      <w:proofErr w:type="spellEnd"/>
      <w:r w:rsidRPr="00C84D4A">
        <w:rPr>
          <w:rFonts w:ascii="Arial" w:hAnsi="Arial" w:cs="Arial"/>
        </w:rPr>
        <w:t>: 1805, 2056, 3291, 5541, 5714.</w:t>
      </w:r>
    </w:p>
    <w:p w14:paraId="1A6F76D8" w14:textId="77777777" w:rsidR="00C84D4A" w:rsidRPr="00C84D4A" w:rsidRDefault="00C84D4A" w:rsidP="00C84D4A">
      <w:pPr>
        <w:numPr>
          <w:ilvl w:val="0"/>
          <w:numId w:val="4"/>
        </w:numPr>
        <w:spacing w:line="360" w:lineRule="auto"/>
        <w:jc w:val="both"/>
        <w:rPr>
          <w:rFonts w:ascii="Arial" w:hAnsi="Arial" w:cs="Arial"/>
          <w:lang w:val="pt-BR"/>
        </w:rPr>
      </w:pPr>
      <w:r w:rsidRPr="00C84D4A">
        <w:rPr>
          <w:rFonts w:ascii="Arial" w:hAnsi="Arial" w:cs="Arial"/>
          <w:b/>
          <w:bCs/>
          <w:lang w:val="pt-BR"/>
        </w:rPr>
        <w:t>Análise de Concentração e Assimetria (com base nos valores calculados e no gráfico):</w:t>
      </w:r>
    </w:p>
    <w:p w14:paraId="412F02FA" w14:textId="77777777" w:rsidR="00C84D4A" w:rsidRPr="00C84D4A" w:rsidRDefault="00C84D4A" w:rsidP="00C84D4A">
      <w:pPr>
        <w:numPr>
          <w:ilvl w:val="1"/>
          <w:numId w:val="4"/>
        </w:numPr>
        <w:spacing w:line="360" w:lineRule="auto"/>
        <w:jc w:val="both"/>
        <w:rPr>
          <w:rFonts w:ascii="Arial" w:hAnsi="Arial" w:cs="Arial"/>
        </w:rPr>
      </w:pPr>
      <w:proofErr w:type="spellStart"/>
      <w:r w:rsidRPr="00C84D4A">
        <w:rPr>
          <w:rFonts w:ascii="Arial" w:hAnsi="Arial" w:cs="Arial"/>
        </w:rPr>
        <w:t>Mínimo</w:t>
      </w:r>
      <w:proofErr w:type="spellEnd"/>
      <w:r w:rsidRPr="00C84D4A">
        <w:rPr>
          <w:rFonts w:ascii="Arial" w:hAnsi="Arial" w:cs="Arial"/>
        </w:rPr>
        <w:t>: 1805</w:t>
      </w:r>
    </w:p>
    <w:p w14:paraId="439207BD" w14:textId="77777777" w:rsidR="00C84D4A" w:rsidRPr="00C84D4A" w:rsidRDefault="00C84D4A" w:rsidP="00C84D4A">
      <w:pPr>
        <w:numPr>
          <w:ilvl w:val="1"/>
          <w:numId w:val="4"/>
        </w:numPr>
        <w:spacing w:line="360" w:lineRule="auto"/>
        <w:jc w:val="both"/>
        <w:rPr>
          <w:rFonts w:ascii="Arial" w:hAnsi="Arial" w:cs="Arial"/>
        </w:rPr>
      </w:pPr>
      <w:r w:rsidRPr="00C84D4A">
        <w:rPr>
          <w:rFonts w:ascii="Arial" w:hAnsi="Arial" w:cs="Arial"/>
        </w:rPr>
        <w:t>Q1: (1805 + 2056) / 2 = 1930.5</w:t>
      </w:r>
    </w:p>
    <w:p w14:paraId="543FAC1C" w14:textId="77777777" w:rsidR="00C84D4A" w:rsidRPr="00C84D4A" w:rsidRDefault="00C84D4A" w:rsidP="00C84D4A">
      <w:pPr>
        <w:numPr>
          <w:ilvl w:val="1"/>
          <w:numId w:val="4"/>
        </w:numPr>
        <w:spacing w:line="360" w:lineRule="auto"/>
        <w:jc w:val="both"/>
        <w:rPr>
          <w:rFonts w:ascii="Arial" w:hAnsi="Arial" w:cs="Arial"/>
        </w:rPr>
      </w:pPr>
      <w:r w:rsidRPr="00C84D4A">
        <w:rPr>
          <w:rFonts w:ascii="Arial" w:hAnsi="Arial" w:cs="Arial"/>
        </w:rPr>
        <w:t>Mediana: 3291</w:t>
      </w:r>
    </w:p>
    <w:p w14:paraId="29BA8ED5" w14:textId="77777777" w:rsidR="00C84D4A" w:rsidRPr="00C84D4A" w:rsidRDefault="00C84D4A" w:rsidP="00C84D4A">
      <w:pPr>
        <w:numPr>
          <w:ilvl w:val="1"/>
          <w:numId w:val="4"/>
        </w:numPr>
        <w:spacing w:line="360" w:lineRule="auto"/>
        <w:jc w:val="both"/>
        <w:rPr>
          <w:rFonts w:ascii="Arial" w:hAnsi="Arial" w:cs="Arial"/>
        </w:rPr>
      </w:pPr>
      <w:r w:rsidRPr="00C84D4A">
        <w:rPr>
          <w:rFonts w:ascii="Arial" w:hAnsi="Arial" w:cs="Arial"/>
        </w:rPr>
        <w:t>Q3: (5541 + 5714) / 2 = 5627.5</w:t>
      </w:r>
    </w:p>
    <w:p w14:paraId="750640FD" w14:textId="77777777" w:rsidR="00C84D4A" w:rsidRPr="00C84D4A" w:rsidRDefault="00C84D4A" w:rsidP="00C84D4A">
      <w:pPr>
        <w:numPr>
          <w:ilvl w:val="1"/>
          <w:numId w:val="4"/>
        </w:numPr>
        <w:spacing w:line="360" w:lineRule="auto"/>
        <w:jc w:val="both"/>
        <w:rPr>
          <w:rFonts w:ascii="Arial" w:hAnsi="Arial" w:cs="Arial"/>
        </w:rPr>
      </w:pPr>
      <w:r w:rsidRPr="00C84D4A">
        <w:rPr>
          <w:rFonts w:ascii="Arial" w:hAnsi="Arial" w:cs="Arial"/>
        </w:rPr>
        <w:t>Máximo: 5714</w:t>
      </w:r>
    </w:p>
    <w:p w14:paraId="0BF83248" w14:textId="77777777" w:rsidR="00C84D4A" w:rsidRPr="00C84D4A" w:rsidRDefault="00C84D4A" w:rsidP="00C84D4A">
      <w:pPr>
        <w:numPr>
          <w:ilvl w:val="1"/>
          <w:numId w:val="4"/>
        </w:numPr>
        <w:spacing w:line="360" w:lineRule="auto"/>
        <w:jc w:val="both"/>
        <w:rPr>
          <w:rFonts w:ascii="Arial" w:hAnsi="Arial" w:cs="Arial"/>
        </w:rPr>
      </w:pPr>
      <w:proofErr w:type="spellStart"/>
      <w:r w:rsidRPr="00C84D4A">
        <w:rPr>
          <w:rFonts w:ascii="Arial" w:hAnsi="Arial" w:cs="Arial"/>
        </w:rPr>
        <w:t>Média</w:t>
      </w:r>
      <w:proofErr w:type="spellEnd"/>
      <w:r w:rsidRPr="00C84D4A">
        <w:rPr>
          <w:rFonts w:ascii="Arial" w:hAnsi="Arial" w:cs="Arial"/>
        </w:rPr>
        <w:t xml:space="preserve"> (</w:t>
      </w:r>
      <w:proofErr w:type="spellStart"/>
      <w:r w:rsidRPr="00C84D4A">
        <w:rPr>
          <w:rFonts w:ascii="Arial" w:hAnsi="Arial" w:cs="Arial"/>
        </w:rPr>
        <w:t>indicada</w:t>
      </w:r>
      <w:proofErr w:type="spellEnd"/>
      <w:r w:rsidRPr="00C84D4A">
        <w:rPr>
          <w:rFonts w:ascii="Arial" w:hAnsi="Arial" w:cs="Arial"/>
        </w:rPr>
        <w:t xml:space="preserve"> no </w:t>
      </w:r>
      <w:proofErr w:type="spellStart"/>
      <w:r w:rsidRPr="00C84D4A">
        <w:rPr>
          <w:rFonts w:ascii="Arial" w:hAnsi="Arial" w:cs="Arial"/>
        </w:rPr>
        <w:t>gráfico</w:t>
      </w:r>
      <w:proofErr w:type="spellEnd"/>
      <w:r w:rsidRPr="00C84D4A">
        <w:rPr>
          <w:rFonts w:ascii="Arial" w:hAnsi="Arial" w:cs="Arial"/>
        </w:rPr>
        <w:t>): ~3681.4</w:t>
      </w:r>
    </w:p>
    <w:p w14:paraId="4BADBE1C" w14:textId="77777777" w:rsidR="00C84D4A" w:rsidRPr="00C84D4A" w:rsidRDefault="00C84D4A" w:rsidP="00C84D4A">
      <w:pPr>
        <w:numPr>
          <w:ilvl w:val="1"/>
          <w:numId w:val="4"/>
        </w:numPr>
        <w:spacing w:line="360" w:lineRule="auto"/>
        <w:jc w:val="both"/>
        <w:rPr>
          <w:rFonts w:ascii="Arial" w:hAnsi="Arial" w:cs="Arial"/>
        </w:rPr>
      </w:pPr>
      <w:r w:rsidRPr="00C84D4A">
        <w:rPr>
          <w:rFonts w:ascii="Arial" w:hAnsi="Arial" w:cs="Arial"/>
        </w:rPr>
        <w:lastRenderedPageBreak/>
        <w:t>IQR: 5627.5 - 1930.5 = 3697</w:t>
      </w:r>
    </w:p>
    <w:p w14:paraId="63631CB9" w14:textId="77777777" w:rsidR="00C84D4A" w:rsidRPr="00C84D4A" w:rsidRDefault="00C84D4A" w:rsidP="00C84D4A">
      <w:pPr>
        <w:numPr>
          <w:ilvl w:val="1"/>
          <w:numId w:val="4"/>
        </w:numPr>
        <w:spacing w:line="360" w:lineRule="auto"/>
        <w:jc w:val="both"/>
        <w:rPr>
          <w:rFonts w:ascii="Arial" w:hAnsi="Arial" w:cs="Arial"/>
          <w:lang w:val="pt-BR"/>
        </w:rPr>
      </w:pPr>
      <w:r w:rsidRPr="00C84D4A">
        <w:rPr>
          <w:rFonts w:ascii="Arial" w:hAnsi="Arial" w:cs="Arial"/>
          <w:lang w:val="pt-BR"/>
        </w:rPr>
        <w:t>A distância Mediana-Q1 (3291 - 1930.5 = 1360.5) é menor que a distância Q3-Mediana (5627.5 - 3291 = 2336.5), indicando uma caixa superior mais longa.</w:t>
      </w:r>
    </w:p>
    <w:p w14:paraId="6C51DC44" w14:textId="77777777" w:rsidR="00C84D4A" w:rsidRPr="00C84D4A" w:rsidRDefault="00C84D4A" w:rsidP="00C84D4A">
      <w:pPr>
        <w:numPr>
          <w:ilvl w:val="1"/>
          <w:numId w:val="4"/>
        </w:numPr>
        <w:spacing w:line="360" w:lineRule="auto"/>
        <w:jc w:val="both"/>
        <w:rPr>
          <w:rFonts w:ascii="Arial" w:hAnsi="Arial" w:cs="Arial"/>
          <w:lang w:val="pt-BR"/>
        </w:rPr>
      </w:pPr>
      <w:r w:rsidRPr="00C84D4A">
        <w:rPr>
          <w:rFonts w:ascii="Arial" w:hAnsi="Arial" w:cs="Arial"/>
          <w:lang w:val="pt-BR"/>
        </w:rPr>
        <w:t>A Média (~3681.4) é maior que a Mediana (3291).</w:t>
      </w:r>
    </w:p>
    <w:p w14:paraId="1B7C0E99" w14:textId="77777777" w:rsidR="00C84D4A" w:rsidRPr="00C84D4A" w:rsidRDefault="00C84D4A" w:rsidP="00C84D4A">
      <w:pPr>
        <w:numPr>
          <w:ilvl w:val="1"/>
          <w:numId w:val="4"/>
        </w:numPr>
        <w:spacing w:line="360" w:lineRule="auto"/>
        <w:jc w:val="both"/>
        <w:rPr>
          <w:rFonts w:ascii="Arial" w:hAnsi="Arial" w:cs="Arial"/>
          <w:lang w:val="pt-BR"/>
        </w:rPr>
      </w:pPr>
      <w:r w:rsidRPr="00C84D4A">
        <w:rPr>
          <w:rFonts w:ascii="Arial" w:hAnsi="Arial" w:cs="Arial"/>
          <w:lang w:val="pt-BR"/>
        </w:rPr>
        <w:t xml:space="preserve">Observa-se uma </w:t>
      </w:r>
      <w:r w:rsidRPr="00C84D4A">
        <w:rPr>
          <w:rFonts w:ascii="Arial" w:hAnsi="Arial" w:cs="Arial"/>
          <w:b/>
          <w:bCs/>
          <w:lang w:val="pt-BR"/>
        </w:rPr>
        <w:t>assimetria à direita</w:t>
      </w:r>
      <w:r w:rsidRPr="00C84D4A">
        <w:rPr>
          <w:rFonts w:ascii="Arial" w:hAnsi="Arial" w:cs="Arial"/>
          <w:lang w:val="pt-BR"/>
        </w:rPr>
        <w:t xml:space="preserve">, embora menos acentuada que as anteriores. Isso indica uma </w:t>
      </w:r>
      <w:r w:rsidRPr="00C84D4A">
        <w:rPr>
          <w:rFonts w:ascii="Arial" w:hAnsi="Arial" w:cs="Arial"/>
          <w:b/>
          <w:bCs/>
          <w:lang w:val="pt-BR"/>
        </w:rPr>
        <w:t>concentração de regiões com menos óbitos</w:t>
      </w:r>
      <w:r w:rsidRPr="00C84D4A">
        <w:rPr>
          <w:rFonts w:ascii="Arial" w:hAnsi="Arial" w:cs="Arial"/>
          <w:lang w:val="pt-BR"/>
        </w:rPr>
        <w:t xml:space="preserve"> por acidentes de transporte em vias públicas, com algumas regiões (Nordeste e Sudeste) apresentando valores mais elevados.</w:t>
      </w:r>
    </w:p>
    <w:p w14:paraId="0148BAA9" w14:textId="77777777" w:rsidR="00C84D4A" w:rsidRPr="00C84D4A" w:rsidRDefault="00C84D4A" w:rsidP="00C84D4A">
      <w:pPr>
        <w:numPr>
          <w:ilvl w:val="0"/>
          <w:numId w:val="4"/>
        </w:numPr>
        <w:spacing w:line="360" w:lineRule="auto"/>
        <w:jc w:val="both"/>
        <w:rPr>
          <w:rFonts w:ascii="Arial" w:hAnsi="Arial" w:cs="Arial"/>
        </w:rPr>
      </w:pPr>
      <w:proofErr w:type="spellStart"/>
      <w:r w:rsidRPr="00C84D4A">
        <w:rPr>
          <w:rFonts w:ascii="Arial" w:hAnsi="Arial" w:cs="Arial"/>
          <w:b/>
          <w:bCs/>
        </w:rPr>
        <w:t>Probabilidade</w:t>
      </w:r>
      <w:proofErr w:type="spellEnd"/>
      <w:r w:rsidRPr="00C84D4A">
        <w:rPr>
          <w:rFonts w:ascii="Arial" w:hAnsi="Arial" w:cs="Arial"/>
          <w:b/>
          <w:bCs/>
        </w:rPr>
        <w:t xml:space="preserve"> (</w:t>
      </w:r>
      <w:proofErr w:type="spellStart"/>
      <w:r w:rsidRPr="00C84D4A">
        <w:rPr>
          <w:rFonts w:ascii="Arial" w:hAnsi="Arial" w:cs="Arial"/>
          <w:b/>
          <w:bCs/>
        </w:rPr>
        <w:t>baseada</w:t>
      </w:r>
      <w:proofErr w:type="spellEnd"/>
      <w:r w:rsidRPr="00C84D4A">
        <w:rPr>
          <w:rFonts w:ascii="Arial" w:hAnsi="Arial" w:cs="Arial"/>
          <w:b/>
          <w:bCs/>
        </w:rPr>
        <w:t xml:space="preserve"> </w:t>
      </w:r>
      <w:proofErr w:type="spellStart"/>
      <w:r w:rsidRPr="00C84D4A">
        <w:rPr>
          <w:rFonts w:ascii="Arial" w:hAnsi="Arial" w:cs="Arial"/>
          <w:b/>
          <w:bCs/>
        </w:rPr>
        <w:t>nas</w:t>
      </w:r>
      <w:proofErr w:type="spellEnd"/>
      <w:r w:rsidRPr="00C84D4A">
        <w:rPr>
          <w:rFonts w:ascii="Arial" w:hAnsi="Arial" w:cs="Arial"/>
          <w:b/>
          <w:bCs/>
        </w:rPr>
        <w:t xml:space="preserve"> 5 </w:t>
      </w:r>
      <w:proofErr w:type="spellStart"/>
      <w:r w:rsidRPr="00C84D4A">
        <w:rPr>
          <w:rFonts w:ascii="Arial" w:hAnsi="Arial" w:cs="Arial"/>
          <w:b/>
          <w:bCs/>
        </w:rPr>
        <w:t>regiões</w:t>
      </w:r>
      <w:proofErr w:type="spellEnd"/>
      <w:r w:rsidRPr="00C84D4A">
        <w:rPr>
          <w:rFonts w:ascii="Arial" w:hAnsi="Arial" w:cs="Arial"/>
          <w:b/>
          <w:bCs/>
        </w:rPr>
        <w:t>):</w:t>
      </w:r>
    </w:p>
    <w:p w14:paraId="5E2D85E9" w14:textId="77777777" w:rsidR="00C84D4A" w:rsidRPr="00C84D4A" w:rsidRDefault="00C84D4A" w:rsidP="00C84D4A">
      <w:pPr>
        <w:numPr>
          <w:ilvl w:val="1"/>
          <w:numId w:val="4"/>
        </w:numPr>
        <w:spacing w:line="360" w:lineRule="auto"/>
        <w:jc w:val="both"/>
        <w:rPr>
          <w:rFonts w:ascii="Arial" w:hAnsi="Arial" w:cs="Arial"/>
          <w:lang w:val="pt-BR"/>
        </w:rPr>
      </w:pPr>
      <w:r w:rsidRPr="00C84D4A">
        <w:rPr>
          <w:rFonts w:ascii="Arial" w:hAnsi="Arial" w:cs="Arial"/>
          <w:lang w:val="pt-BR"/>
        </w:rPr>
        <w:t>Probabilidade de uma região ter óbitos por acidentes de transporte em vias públicas acima da mediana (&gt; 3291): 2/5 = 40% (Regiões Nordeste e Sudeste).</w:t>
      </w:r>
    </w:p>
    <w:p w14:paraId="13773568" w14:textId="77777777" w:rsidR="00C84D4A" w:rsidRPr="00C84D4A" w:rsidRDefault="00C84D4A" w:rsidP="00C84D4A">
      <w:pPr>
        <w:numPr>
          <w:ilvl w:val="1"/>
          <w:numId w:val="4"/>
        </w:numPr>
        <w:spacing w:line="360" w:lineRule="auto"/>
        <w:jc w:val="both"/>
        <w:rPr>
          <w:rFonts w:ascii="Arial" w:hAnsi="Arial" w:cs="Arial"/>
          <w:lang w:val="pt-BR"/>
        </w:rPr>
      </w:pPr>
      <w:r w:rsidRPr="00C84D4A">
        <w:rPr>
          <w:rFonts w:ascii="Arial" w:hAnsi="Arial" w:cs="Arial"/>
          <w:lang w:val="pt-BR"/>
        </w:rPr>
        <w:t>Probabilidade de uma região ter óbitos acima de Q3 (&gt; 5627.5): 1/5 = 20% (Região Nordeste).</w:t>
      </w:r>
    </w:p>
    <w:p w14:paraId="5F489C17" w14:textId="77777777" w:rsidR="00C84D4A" w:rsidRPr="00C84D4A" w:rsidRDefault="00C84D4A" w:rsidP="00C84D4A">
      <w:pPr>
        <w:numPr>
          <w:ilvl w:val="1"/>
          <w:numId w:val="4"/>
        </w:numPr>
        <w:spacing w:line="360" w:lineRule="auto"/>
        <w:jc w:val="both"/>
        <w:rPr>
          <w:rFonts w:ascii="Arial" w:hAnsi="Arial" w:cs="Arial"/>
          <w:lang w:val="pt-BR"/>
        </w:rPr>
      </w:pPr>
      <w:r w:rsidRPr="00C84D4A">
        <w:rPr>
          <w:rFonts w:ascii="Arial" w:hAnsi="Arial" w:cs="Arial"/>
          <w:lang w:val="pt-BR"/>
        </w:rPr>
        <w:t>Probabilidade de uma região ter óbitos abaixo de Q1 (&lt; 1930.5): 1/5 = 20% (Região Norte).</w:t>
      </w:r>
    </w:p>
    <w:p w14:paraId="7F98F8DE" w14:textId="77777777" w:rsidR="00C84D4A" w:rsidRPr="00C84D4A" w:rsidRDefault="00C84D4A" w:rsidP="00C84D4A">
      <w:pPr>
        <w:spacing w:line="360" w:lineRule="auto"/>
        <w:jc w:val="both"/>
        <w:rPr>
          <w:rFonts w:ascii="Arial" w:hAnsi="Arial" w:cs="Arial"/>
          <w:lang w:val="pt-BR"/>
        </w:rPr>
      </w:pPr>
      <w:r w:rsidRPr="00C84D4A">
        <w:rPr>
          <w:rFonts w:ascii="Arial" w:hAnsi="Arial" w:cs="Arial"/>
          <w:b/>
          <w:bCs/>
          <w:lang w:val="pt-BR"/>
        </w:rPr>
        <w:t>3.4 Análise da Tabela/Box-</w:t>
      </w:r>
      <w:proofErr w:type="spellStart"/>
      <w:r w:rsidRPr="00C84D4A">
        <w:rPr>
          <w:rFonts w:ascii="Arial" w:hAnsi="Arial" w:cs="Arial"/>
          <w:b/>
          <w:bCs/>
          <w:lang w:val="pt-BR"/>
        </w:rPr>
        <w:t>Plot</w:t>
      </w:r>
      <w:proofErr w:type="spellEnd"/>
      <w:r w:rsidRPr="00C84D4A">
        <w:rPr>
          <w:rFonts w:ascii="Arial" w:hAnsi="Arial" w:cs="Arial"/>
          <w:b/>
          <w:bCs/>
          <w:lang w:val="pt-BR"/>
        </w:rPr>
        <w:t xml:space="preserve"> 4: Óbitos p/</w:t>
      </w:r>
      <w:proofErr w:type="spellStart"/>
      <w:r w:rsidRPr="00C84D4A">
        <w:rPr>
          <w:rFonts w:ascii="Arial" w:hAnsi="Arial" w:cs="Arial"/>
          <w:b/>
          <w:bCs/>
          <w:lang w:val="pt-BR"/>
        </w:rPr>
        <w:t>Residênc</w:t>
      </w:r>
      <w:proofErr w:type="spellEnd"/>
      <w:r w:rsidRPr="00C84D4A">
        <w:rPr>
          <w:rFonts w:ascii="Arial" w:hAnsi="Arial" w:cs="Arial"/>
          <w:b/>
          <w:bCs/>
          <w:lang w:val="pt-BR"/>
        </w:rPr>
        <w:t xml:space="preserve"> por Região (Grupo CID-10: Ocupante automóvel </w:t>
      </w:r>
      <w:proofErr w:type="spellStart"/>
      <w:r w:rsidRPr="00C84D4A">
        <w:rPr>
          <w:rFonts w:ascii="Arial" w:hAnsi="Arial" w:cs="Arial"/>
          <w:b/>
          <w:bCs/>
          <w:lang w:val="pt-BR"/>
        </w:rPr>
        <w:t>traumat</w:t>
      </w:r>
      <w:proofErr w:type="spellEnd"/>
      <w:r w:rsidRPr="00C84D4A">
        <w:rPr>
          <w:rFonts w:ascii="Arial" w:hAnsi="Arial" w:cs="Arial"/>
          <w:b/>
          <w:bCs/>
          <w:lang w:val="pt-BR"/>
        </w:rPr>
        <w:t xml:space="preserve"> acidente transporte; Causa - CID-BR-10: 104 Acidentes de transporte; Local ocorrência: Via pública)</w:t>
      </w:r>
    </w:p>
    <w:p w14:paraId="2A9046AC" w14:textId="77777777" w:rsidR="00C84D4A" w:rsidRPr="00C84D4A" w:rsidRDefault="00C84D4A" w:rsidP="00C84D4A">
      <w:pPr>
        <w:numPr>
          <w:ilvl w:val="0"/>
          <w:numId w:val="5"/>
        </w:numPr>
        <w:spacing w:line="360" w:lineRule="auto"/>
        <w:jc w:val="both"/>
        <w:rPr>
          <w:rFonts w:ascii="Arial" w:hAnsi="Arial" w:cs="Arial"/>
          <w:lang w:val="pt-BR"/>
        </w:rPr>
      </w:pPr>
      <w:r w:rsidRPr="00C84D4A">
        <w:rPr>
          <w:rFonts w:ascii="Arial" w:hAnsi="Arial" w:cs="Arial"/>
          <w:b/>
          <w:bCs/>
          <w:lang w:val="pt-BR"/>
        </w:rPr>
        <w:t>Dados Regionais:</w:t>
      </w:r>
      <w:r w:rsidRPr="00C84D4A">
        <w:rPr>
          <w:rFonts w:ascii="Arial" w:hAnsi="Arial" w:cs="Arial"/>
          <w:lang w:val="pt-BR"/>
        </w:rPr>
        <w:t xml:space="preserve"> Região Norte: 227; Região Nordeste: 999; Região Sudeste: 1511; Região Sul: 1299; Região Centro-Oeste: 546.</w:t>
      </w:r>
    </w:p>
    <w:p w14:paraId="7BF40F38" w14:textId="77777777" w:rsidR="00C84D4A" w:rsidRPr="00C84D4A" w:rsidRDefault="00C84D4A" w:rsidP="00C84D4A">
      <w:pPr>
        <w:numPr>
          <w:ilvl w:val="1"/>
          <w:numId w:val="5"/>
        </w:numPr>
        <w:spacing w:line="360" w:lineRule="auto"/>
        <w:jc w:val="both"/>
        <w:rPr>
          <w:rFonts w:ascii="Arial" w:hAnsi="Arial" w:cs="Arial"/>
        </w:rPr>
      </w:pPr>
      <w:proofErr w:type="spellStart"/>
      <w:r w:rsidRPr="00C84D4A">
        <w:rPr>
          <w:rFonts w:ascii="Arial" w:hAnsi="Arial" w:cs="Arial"/>
        </w:rPr>
        <w:t>Ordenados</w:t>
      </w:r>
      <w:proofErr w:type="spellEnd"/>
      <w:r w:rsidRPr="00C84D4A">
        <w:rPr>
          <w:rFonts w:ascii="Arial" w:hAnsi="Arial" w:cs="Arial"/>
        </w:rPr>
        <w:t>: 227, 546, 999, 1299, 1511.</w:t>
      </w:r>
    </w:p>
    <w:p w14:paraId="5CF8D645" w14:textId="77777777" w:rsidR="00C84D4A" w:rsidRPr="00C84D4A" w:rsidRDefault="00C84D4A" w:rsidP="00C84D4A">
      <w:pPr>
        <w:numPr>
          <w:ilvl w:val="0"/>
          <w:numId w:val="5"/>
        </w:numPr>
        <w:spacing w:line="360" w:lineRule="auto"/>
        <w:jc w:val="both"/>
        <w:rPr>
          <w:rFonts w:ascii="Arial" w:hAnsi="Arial" w:cs="Arial"/>
          <w:lang w:val="pt-BR"/>
        </w:rPr>
      </w:pPr>
      <w:r w:rsidRPr="00C84D4A">
        <w:rPr>
          <w:rFonts w:ascii="Arial" w:hAnsi="Arial" w:cs="Arial"/>
          <w:b/>
          <w:bCs/>
          <w:lang w:val="pt-BR"/>
        </w:rPr>
        <w:t>Análise de Concentração e Assimetria (com base nos valores calculados e no gráfico):</w:t>
      </w:r>
    </w:p>
    <w:p w14:paraId="514109E1" w14:textId="77777777" w:rsidR="00C84D4A" w:rsidRPr="00C84D4A" w:rsidRDefault="00C84D4A" w:rsidP="00C84D4A">
      <w:pPr>
        <w:numPr>
          <w:ilvl w:val="1"/>
          <w:numId w:val="5"/>
        </w:numPr>
        <w:spacing w:line="360" w:lineRule="auto"/>
        <w:jc w:val="both"/>
        <w:rPr>
          <w:rFonts w:ascii="Arial" w:hAnsi="Arial" w:cs="Arial"/>
        </w:rPr>
      </w:pPr>
      <w:proofErr w:type="spellStart"/>
      <w:r w:rsidRPr="00C84D4A">
        <w:rPr>
          <w:rFonts w:ascii="Arial" w:hAnsi="Arial" w:cs="Arial"/>
        </w:rPr>
        <w:t>Mínimo</w:t>
      </w:r>
      <w:proofErr w:type="spellEnd"/>
      <w:r w:rsidRPr="00C84D4A">
        <w:rPr>
          <w:rFonts w:ascii="Arial" w:hAnsi="Arial" w:cs="Arial"/>
        </w:rPr>
        <w:t>: 227</w:t>
      </w:r>
    </w:p>
    <w:p w14:paraId="4724DD65" w14:textId="77777777" w:rsidR="00C84D4A" w:rsidRPr="00C84D4A" w:rsidRDefault="00C84D4A" w:rsidP="00C84D4A">
      <w:pPr>
        <w:numPr>
          <w:ilvl w:val="1"/>
          <w:numId w:val="5"/>
        </w:numPr>
        <w:spacing w:line="360" w:lineRule="auto"/>
        <w:jc w:val="both"/>
        <w:rPr>
          <w:rFonts w:ascii="Arial" w:hAnsi="Arial" w:cs="Arial"/>
        </w:rPr>
      </w:pPr>
      <w:r w:rsidRPr="00C84D4A">
        <w:rPr>
          <w:rFonts w:ascii="Arial" w:hAnsi="Arial" w:cs="Arial"/>
        </w:rPr>
        <w:lastRenderedPageBreak/>
        <w:t>Q1: (227 + 546) / 2 = 386.5</w:t>
      </w:r>
    </w:p>
    <w:p w14:paraId="6C4E51AB" w14:textId="77777777" w:rsidR="00C84D4A" w:rsidRPr="00C84D4A" w:rsidRDefault="00C84D4A" w:rsidP="00C84D4A">
      <w:pPr>
        <w:numPr>
          <w:ilvl w:val="1"/>
          <w:numId w:val="5"/>
        </w:numPr>
        <w:spacing w:line="360" w:lineRule="auto"/>
        <w:jc w:val="both"/>
        <w:rPr>
          <w:rFonts w:ascii="Arial" w:hAnsi="Arial" w:cs="Arial"/>
        </w:rPr>
      </w:pPr>
      <w:r w:rsidRPr="00C84D4A">
        <w:rPr>
          <w:rFonts w:ascii="Arial" w:hAnsi="Arial" w:cs="Arial"/>
        </w:rPr>
        <w:t>Mediana: 999</w:t>
      </w:r>
    </w:p>
    <w:p w14:paraId="139FEF21" w14:textId="77777777" w:rsidR="00C84D4A" w:rsidRPr="00C84D4A" w:rsidRDefault="00C84D4A" w:rsidP="00C84D4A">
      <w:pPr>
        <w:numPr>
          <w:ilvl w:val="1"/>
          <w:numId w:val="5"/>
        </w:numPr>
        <w:spacing w:line="360" w:lineRule="auto"/>
        <w:jc w:val="both"/>
        <w:rPr>
          <w:rFonts w:ascii="Arial" w:hAnsi="Arial" w:cs="Arial"/>
        </w:rPr>
      </w:pPr>
      <w:r w:rsidRPr="00C84D4A">
        <w:rPr>
          <w:rFonts w:ascii="Arial" w:hAnsi="Arial" w:cs="Arial"/>
        </w:rPr>
        <w:t>Q3: (1299 + 1511) / 2 = 1405</w:t>
      </w:r>
    </w:p>
    <w:p w14:paraId="79A58EF0" w14:textId="77777777" w:rsidR="00C84D4A" w:rsidRPr="00C84D4A" w:rsidRDefault="00C84D4A" w:rsidP="00C84D4A">
      <w:pPr>
        <w:numPr>
          <w:ilvl w:val="1"/>
          <w:numId w:val="5"/>
        </w:numPr>
        <w:spacing w:line="360" w:lineRule="auto"/>
        <w:jc w:val="both"/>
        <w:rPr>
          <w:rFonts w:ascii="Arial" w:hAnsi="Arial" w:cs="Arial"/>
        </w:rPr>
      </w:pPr>
      <w:r w:rsidRPr="00C84D4A">
        <w:rPr>
          <w:rFonts w:ascii="Arial" w:hAnsi="Arial" w:cs="Arial"/>
        </w:rPr>
        <w:t>Máximo: 1511</w:t>
      </w:r>
    </w:p>
    <w:p w14:paraId="5F69981A" w14:textId="77777777" w:rsidR="00C84D4A" w:rsidRPr="00C84D4A" w:rsidRDefault="00C84D4A" w:rsidP="00C84D4A">
      <w:pPr>
        <w:numPr>
          <w:ilvl w:val="1"/>
          <w:numId w:val="5"/>
        </w:numPr>
        <w:spacing w:line="360" w:lineRule="auto"/>
        <w:jc w:val="both"/>
        <w:rPr>
          <w:rFonts w:ascii="Arial" w:hAnsi="Arial" w:cs="Arial"/>
        </w:rPr>
      </w:pPr>
      <w:proofErr w:type="spellStart"/>
      <w:r w:rsidRPr="00C84D4A">
        <w:rPr>
          <w:rFonts w:ascii="Arial" w:hAnsi="Arial" w:cs="Arial"/>
        </w:rPr>
        <w:t>Média</w:t>
      </w:r>
      <w:proofErr w:type="spellEnd"/>
      <w:r w:rsidRPr="00C84D4A">
        <w:rPr>
          <w:rFonts w:ascii="Arial" w:hAnsi="Arial" w:cs="Arial"/>
        </w:rPr>
        <w:t xml:space="preserve"> (</w:t>
      </w:r>
      <w:proofErr w:type="spellStart"/>
      <w:r w:rsidRPr="00C84D4A">
        <w:rPr>
          <w:rFonts w:ascii="Arial" w:hAnsi="Arial" w:cs="Arial"/>
        </w:rPr>
        <w:t>indicada</w:t>
      </w:r>
      <w:proofErr w:type="spellEnd"/>
      <w:r w:rsidRPr="00C84D4A">
        <w:rPr>
          <w:rFonts w:ascii="Arial" w:hAnsi="Arial" w:cs="Arial"/>
        </w:rPr>
        <w:t xml:space="preserve"> no </w:t>
      </w:r>
      <w:proofErr w:type="spellStart"/>
      <w:r w:rsidRPr="00C84D4A">
        <w:rPr>
          <w:rFonts w:ascii="Arial" w:hAnsi="Arial" w:cs="Arial"/>
        </w:rPr>
        <w:t>gráfico</w:t>
      </w:r>
      <w:proofErr w:type="spellEnd"/>
      <w:r w:rsidRPr="00C84D4A">
        <w:rPr>
          <w:rFonts w:ascii="Arial" w:hAnsi="Arial" w:cs="Arial"/>
        </w:rPr>
        <w:t>): ~916.4</w:t>
      </w:r>
    </w:p>
    <w:p w14:paraId="70FD14A7" w14:textId="77777777" w:rsidR="00C84D4A" w:rsidRPr="00C84D4A" w:rsidRDefault="00C84D4A" w:rsidP="00C84D4A">
      <w:pPr>
        <w:numPr>
          <w:ilvl w:val="1"/>
          <w:numId w:val="5"/>
        </w:numPr>
        <w:spacing w:line="360" w:lineRule="auto"/>
        <w:jc w:val="both"/>
        <w:rPr>
          <w:rFonts w:ascii="Arial" w:hAnsi="Arial" w:cs="Arial"/>
        </w:rPr>
      </w:pPr>
      <w:r w:rsidRPr="00C84D4A">
        <w:rPr>
          <w:rFonts w:ascii="Arial" w:hAnsi="Arial" w:cs="Arial"/>
        </w:rPr>
        <w:t>IQR: 1405 - 386.5 = 1018.5</w:t>
      </w:r>
    </w:p>
    <w:p w14:paraId="380E4A7F" w14:textId="77777777" w:rsidR="00C84D4A" w:rsidRPr="00C84D4A" w:rsidRDefault="00C84D4A" w:rsidP="00C84D4A">
      <w:pPr>
        <w:numPr>
          <w:ilvl w:val="1"/>
          <w:numId w:val="5"/>
        </w:numPr>
        <w:spacing w:line="360" w:lineRule="auto"/>
        <w:jc w:val="both"/>
        <w:rPr>
          <w:rFonts w:ascii="Arial" w:hAnsi="Arial" w:cs="Arial"/>
        </w:rPr>
      </w:pPr>
      <w:r w:rsidRPr="00C84D4A">
        <w:rPr>
          <w:rFonts w:ascii="Arial" w:hAnsi="Arial" w:cs="Arial"/>
          <w:lang w:val="pt-BR"/>
        </w:rPr>
        <w:t xml:space="preserve">A distância Mediana-Q1 (999 - 386.5 = 612.5) é maior que a distância Q3-Mediana (1405 - 999 = 406). </w:t>
      </w:r>
      <w:r w:rsidRPr="00C84D4A">
        <w:rPr>
          <w:rFonts w:ascii="Arial" w:hAnsi="Arial" w:cs="Arial"/>
        </w:rPr>
        <w:t xml:space="preserve">A </w:t>
      </w:r>
      <w:proofErr w:type="spellStart"/>
      <w:r w:rsidRPr="00C84D4A">
        <w:rPr>
          <w:rFonts w:ascii="Arial" w:hAnsi="Arial" w:cs="Arial"/>
        </w:rPr>
        <w:t>parte</w:t>
      </w:r>
      <w:proofErr w:type="spellEnd"/>
      <w:r w:rsidRPr="00C84D4A">
        <w:rPr>
          <w:rFonts w:ascii="Arial" w:hAnsi="Arial" w:cs="Arial"/>
        </w:rPr>
        <w:t xml:space="preserve"> inferior da </w:t>
      </w:r>
      <w:proofErr w:type="spellStart"/>
      <w:r w:rsidRPr="00C84D4A">
        <w:rPr>
          <w:rFonts w:ascii="Arial" w:hAnsi="Arial" w:cs="Arial"/>
        </w:rPr>
        <w:t>caixa</w:t>
      </w:r>
      <w:proofErr w:type="spellEnd"/>
      <w:r w:rsidRPr="00C84D4A">
        <w:rPr>
          <w:rFonts w:ascii="Arial" w:hAnsi="Arial" w:cs="Arial"/>
        </w:rPr>
        <w:t xml:space="preserve"> é </w:t>
      </w:r>
      <w:proofErr w:type="spellStart"/>
      <w:r w:rsidRPr="00C84D4A">
        <w:rPr>
          <w:rFonts w:ascii="Arial" w:hAnsi="Arial" w:cs="Arial"/>
        </w:rPr>
        <w:t>mais</w:t>
      </w:r>
      <w:proofErr w:type="spellEnd"/>
      <w:r w:rsidRPr="00C84D4A">
        <w:rPr>
          <w:rFonts w:ascii="Arial" w:hAnsi="Arial" w:cs="Arial"/>
        </w:rPr>
        <w:t xml:space="preserve"> longa.</w:t>
      </w:r>
    </w:p>
    <w:p w14:paraId="174CBF7C" w14:textId="77777777" w:rsidR="00C84D4A" w:rsidRPr="00C84D4A" w:rsidRDefault="00C84D4A" w:rsidP="00C84D4A">
      <w:pPr>
        <w:numPr>
          <w:ilvl w:val="1"/>
          <w:numId w:val="5"/>
        </w:numPr>
        <w:spacing w:line="360" w:lineRule="auto"/>
        <w:jc w:val="both"/>
        <w:rPr>
          <w:rFonts w:ascii="Arial" w:hAnsi="Arial" w:cs="Arial"/>
          <w:lang w:val="pt-BR"/>
        </w:rPr>
      </w:pPr>
      <w:r w:rsidRPr="00C84D4A">
        <w:rPr>
          <w:rFonts w:ascii="Arial" w:hAnsi="Arial" w:cs="Arial"/>
          <w:lang w:val="pt-BR"/>
        </w:rPr>
        <w:t>A Média (~916.4) é menor que a Mediana (999).</w:t>
      </w:r>
    </w:p>
    <w:p w14:paraId="765AA740" w14:textId="77777777" w:rsidR="00C84D4A" w:rsidRPr="00C84D4A" w:rsidRDefault="00C84D4A" w:rsidP="00C84D4A">
      <w:pPr>
        <w:numPr>
          <w:ilvl w:val="1"/>
          <w:numId w:val="5"/>
        </w:numPr>
        <w:spacing w:line="360" w:lineRule="auto"/>
        <w:jc w:val="both"/>
        <w:rPr>
          <w:rFonts w:ascii="Arial" w:hAnsi="Arial" w:cs="Arial"/>
          <w:lang w:val="pt-BR"/>
        </w:rPr>
      </w:pPr>
      <w:r w:rsidRPr="00C84D4A">
        <w:rPr>
          <w:rFonts w:ascii="Arial" w:hAnsi="Arial" w:cs="Arial"/>
          <w:lang w:val="pt-BR"/>
        </w:rPr>
        <w:t xml:space="preserve">Essas características indicam uma </w:t>
      </w:r>
      <w:r w:rsidRPr="00C84D4A">
        <w:rPr>
          <w:rFonts w:ascii="Arial" w:hAnsi="Arial" w:cs="Arial"/>
          <w:b/>
          <w:bCs/>
          <w:lang w:val="pt-BR"/>
        </w:rPr>
        <w:t>leve assimetria à esquerda</w:t>
      </w:r>
      <w:r w:rsidRPr="00C84D4A">
        <w:rPr>
          <w:rFonts w:ascii="Arial" w:hAnsi="Arial" w:cs="Arial"/>
          <w:lang w:val="pt-BR"/>
        </w:rPr>
        <w:t xml:space="preserve">. Isso sugere que, para óbitos de ocupantes de veículos, pode haver uma maior dispersão nos valores mais baixos, com os dados tendendo a se agrupar ou se concentrar um pouco mais em </w:t>
      </w:r>
      <w:r w:rsidRPr="00C84D4A">
        <w:rPr>
          <w:rFonts w:ascii="Arial" w:hAnsi="Arial" w:cs="Arial"/>
          <w:b/>
          <w:bCs/>
          <w:lang w:val="pt-BR"/>
        </w:rPr>
        <w:t>valores relativamente mais altos</w:t>
      </w:r>
      <w:r w:rsidRPr="00C84D4A">
        <w:rPr>
          <w:rFonts w:ascii="Arial" w:hAnsi="Arial" w:cs="Arial"/>
          <w:lang w:val="pt-BR"/>
        </w:rPr>
        <w:t xml:space="preserve"> em comparação com as outras distribuições analisadas, ou pelo menos não tão concentrados em valores baixos.</w:t>
      </w:r>
    </w:p>
    <w:p w14:paraId="0ECF2CBA" w14:textId="77777777" w:rsidR="00C84D4A" w:rsidRPr="00C84D4A" w:rsidRDefault="00C84D4A" w:rsidP="00C84D4A">
      <w:pPr>
        <w:numPr>
          <w:ilvl w:val="0"/>
          <w:numId w:val="5"/>
        </w:numPr>
        <w:spacing w:line="360" w:lineRule="auto"/>
        <w:jc w:val="both"/>
        <w:rPr>
          <w:rFonts w:ascii="Arial" w:hAnsi="Arial" w:cs="Arial"/>
        </w:rPr>
      </w:pPr>
      <w:proofErr w:type="spellStart"/>
      <w:r w:rsidRPr="00C84D4A">
        <w:rPr>
          <w:rFonts w:ascii="Arial" w:hAnsi="Arial" w:cs="Arial"/>
          <w:b/>
          <w:bCs/>
        </w:rPr>
        <w:t>Probabilidade</w:t>
      </w:r>
      <w:proofErr w:type="spellEnd"/>
      <w:r w:rsidRPr="00C84D4A">
        <w:rPr>
          <w:rFonts w:ascii="Arial" w:hAnsi="Arial" w:cs="Arial"/>
          <w:b/>
          <w:bCs/>
        </w:rPr>
        <w:t xml:space="preserve"> (</w:t>
      </w:r>
      <w:proofErr w:type="spellStart"/>
      <w:r w:rsidRPr="00C84D4A">
        <w:rPr>
          <w:rFonts w:ascii="Arial" w:hAnsi="Arial" w:cs="Arial"/>
          <w:b/>
          <w:bCs/>
        </w:rPr>
        <w:t>baseada</w:t>
      </w:r>
      <w:proofErr w:type="spellEnd"/>
      <w:r w:rsidRPr="00C84D4A">
        <w:rPr>
          <w:rFonts w:ascii="Arial" w:hAnsi="Arial" w:cs="Arial"/>
          <w:b/>
          <w:bCs/>
        </w:rPr>
        <w:t xml:space="preserve"> </w:t>
      </w:r>
      <w:proofErr w:type="spellStart"/>
      <w:r w:rsidRPr="00C84D4A">
        <w:rPr>
          <w:rFonts w:ascii="Arial" w:hAnsi="Arial" w:cs="Arial"/>
          <w:b/>
          <w:bCs/>
        </w:rPr>
        <w:t>nas</w:t>
      </w:r>
      <w:proofErr w:type="spellEnd"/>
      <w:r w:rsidRPr="00C84D4A">
        <w:rPr>
          <w:rFonts w:ascii="Arial" w:hAnsi="Arial" w:cs="Arial"/>
          <w:b/>
          <w:bCs/>
        </w:rPr>
        <w:t xml:space="preserve"> 5 </w:t>
      </w:r>
      <w:proofErr w:type="spellStart"/>
      <w:r w:rsidRPr="00C84D4A">
        <w:rPr>
          <w:rFonts w:ascii="Arial" w:hAnsi="Arial" w:cs="Arial"/>
          <w:b/>
          <w:bCs/>
        </w:rPr>
        <w:t>regiões</w:t>
      </w:r>
      <w:proofErr w:type="spellEnd"/>
      <w:r w:rsidRPr="00C84D4A">
        <w:rPr>
          <w:rFonts w:ascii="Arial" w:hAnsi="Arial" w:cs="Arial"/>
          <w:b/>
          <w:bCs/>
        </w:rPr>
        <w:t>):</w:t>
      </w:r>
    </w:p>
    <w:p w14:paraId="3CF39364" w14:textId="77777777" w:rsidR="00C84D4A" w:rsidRPr="00C84D4A" w:rsidRDefault="00C84D4A" w:rsidP="00C84D4A">
      <w:pPr>
        <w:numPr>
          <w:ilvl w:val="1"/>
          <w:numId w:val="5"/>
        </w:numPr>
        <w:spacing w:line="360" w:lineRule="auto"/>
        <w:jc w:val="both"/>
        <w:rPr>
          <w:rFonts w:ascii="Arial" w:hAnsi="Arial" w:cs="Arial"/>
          <w:lang w:val="pt-BR"/>
        </w:rPr>
      </w:pPr>
      <w:r w:rsidRPr="00C84D4A">
        <w:rPr>
          <w:rFonts w:ascii="Arial" w:hAnsi="Arial" w:cs="Arial"/>
          <w:lang w:val="pt-BR"/>
        </w:rPr>
        <w:t>Probabilidade de uma região ter óbitos de ocupantes de veículos acima da mediana (&gt; 999): 2/5 = 40% (Regiões Sudeste e Sul).</w:t>
      </w:r>
    </w:p>
    <w:p w14:paraId="676A4987" w14:textId="77777777" w:rsidR="00C84D4A" w:rsidRPr="00C84D4A" w:rsidRDefault="00C84D4A" w:rsidP="00C84D4A">
      <w:pPr>
        <w:numPr>
          <w:ilvl w:val="1"/>
          <w:numId w:val="5"/>
        </w:numPr>
        <w:spacing w:line="360" w:lineRule="auto"/>
        <w:jc w:val="both"/>
        <w:rPr>
          <w:rFonts w:ascii="Arial" w:hAnsi="Arial" w:cs="Arial"/>
          <w:lang w:val="pt-BR"/>
        </w:rPr>
      </w:pPr>
      <w:r w:rsidRPr="00C84D4A">
        <w:rPr>
          <w:rFonts w:ascii="Arial" w:hAnsi="Arial" w:cs="Arial"/>
          <w:lang w:val="pt-BR"/>
        </w:rPr>
        <w:t>Probabilidade de uma região ter óbitos acima de Q3 (&gt; 1405): 1/5 = 20% (Região Sudeste).</w:t>
      </w:r>
    </w:p>
    <w:p w14:paraId="7393B6F4" w14:textId="77777777" w:rsidR="00C84D4A" w:rsidRPr="00C84D4A" w:rsidRDefault="00C84D4A" w:rsidP="00C84D4A">
      <w:pPr>
        <w:numPr>
          <w:ilvl w:val="1"/>
          <w:numId w:val="5"/>
        </w:numPr>
        <w:spacing w:line="360" w:lineRule="auto"/>
        <w:jc w:val="both"/>
        <w:rPr>
          <w:rFonts w:ascii="Arial" w:hAnsi="Arial" w:cs="Arial"/>
          <w:lang w:val="pt-BR"/>
        </w:rPr>
      </w:pPr>
      <w:r w:rsidRPr="00C84D4A">
        <w:rPr>
          <w:rFonts w:ascii="Arial" w:hAnsi="Arial" w:cs="Arial"/>
          <w:lang w:val="pt-BR"/>
        </w:rPr>
        <w:t>Probabilidade de uma região ter óbitos abaixo de Q1 (&lt; 386.5): 1/5 = 20% (Região Norte).</w:t>
      </w:r>
    </w:p>
    <w:p w14:paraId="04DE9299" w14:textId="77777777" w:rsidR="00C84D4A" w:rsidRPr="00C84D4A" w:rsidRDefault="00C84D4A" w:rsidP="00C84D4A">
      <w:pPr>
        <w:spacing w:line="360" w:lineRule="auto"/>
        <w:jc w:val="both"/>
        <w:rPr>
          <w:rFonts w:ascii="Arial" w:hAnsi="Arial" w:cs="Arial"/>
        </w:rPr>
      </w:pPr>
      <w:r w:rsidRPr="00C84D4A">
        <w:rPr>
          <w:rFonts w:ascii="Arial" w:hAnsi="Arial" w:cs="Arial"/>
          <w:b/>
          <w:bCs/>
        </w:rPr>
        <w:t xml:space="preserve">4. </w:t>
      </w:r>
      <w:proofErr w:type="spellStart"/>
      <w:r w:rsidRPr="00C84D4A">
        <w:rPr>
          <w:rFonts w:ascii="Arial" w:hAnsi="Arial" w:cs="Arial"/>
          <w:b/>
          <w:bCs/>
        </w:rPr>
        <w:t>Conclusões</w:t>
      </w:r>
      <w:proofErr w:type="spellEnd"/>
      <w:r w:rsidRPr="00C84D4A">
        <w:rPr>
          <w:rFonts w:ascii="Arial" w:hAnsi="Arial" w:cs="Arial"/>
          <w:b/>
          <w:bCs/>
        </w:rPr>
        <w:t xml:space="preserve"> </w:t>
      </w:r>
      <w:proofErr w:type="spellStart"/>
      <w:r w:rsidRPr="00C84D4A">
        <w:rPr>
          <w:rFonts w:ascii="Arial" w:hAnsi="Arial" w:cs="Arial"/>
          <w:b/>
          <w:bCs/>
        </w:rPr>
        <w:t>Consolidadas</w:t>
      </w:r>
      <w:proofErr w:type="spellEnd"/>
    </w:p>
    <w:p w14:paraId="69AAB70B" w14:textId="77777777" w:rsidR="00C84D4A" w:rsidRPr="00C84D4A" w:rsidRDefault="00C84D4A" w:rsidP="00C84D4A">
      <w:pPr>
        <w:spacing w:line="360" w:lineRule="auto"/>
        <w:jc w:val="both"/>
        <w:rPr>
          <w:rFonts w:ascii="Arial" w:hAnsi="Arial" w:cs="Arial"/>
          <w:lang w:val="pt-BR"/>
        </w:rPr>
      </w:pPr>
      <w:r w:rsidRPr="00C84D4A">
        <w:rPr>
          <w:rFonts w:ascii="Arial" w:hAnsi="Arial" w:cs="Arial"/>
          <w:lang w:val="pt-BR"/>
        </w:rPr>
        <w:t>A análise exploratória dos quatro conjuntos de dados e seus respectivos box-</w:t>
      </w:r>
      <w:proofErr w:type="spellStart"/>
      <w:r w:rsidRPr="00C84D4A">
        <w:rPr>
          <w:rFonts w:ascii="Arial" w:hAnsi="Arial" w:cs="Arial"/>
          <w:lang w:val="pt-BR"/>
        </w:rPr>
        <w:t>plots</w:t>
      </w:r>
      <w:proofErr w:type="spellEnd"/>
      <w:r w:rsidRPr="00C84D4A">
        <w:rPr>
          <w:rFonts w:ascii="Arial" w:hAnsi="Arial" w:cs="Arial"/>
          <w:lang w:val="pt-BR"/>
        </w:rPr>
        <w:t xml:space="preserve"> revela padrões distintos na distribuição de óbitos por região no Brasil em 2023:</w:t>
      </w:r>
    </w:p>
    <w:p w14:paraId="553D1B6E" w14:textId="77777777" w:rsidR="00C84D4A" w:rsidRPr="00C84D4A" w:rsidRDefault="00C84D4A" w:rsidP="00C84D4A">
      <w:pPr>
        <w:numPr>
          <w:ilvl w:val="0"/>
          <w:numId w:val="6"/>
        </w:numPr>
        <w:spacing w:line="360" w:lineRule="auto"/>
        <w:jc w:val="both"/>
        <w:rPr>
          <w:rFonts w:ascii="Arial" w:hAnsi="Arial" w:cs="Arial"/>
          <w:lang w:val="pt-BR"/>
        </w:rPr>
      </w:pPr>
      <w:r w:rsidRPr="00C84D4A">
        <w:rPr>
          <w:rFonts w:ascii="Arial" w:hAnsi="Arial" w:cs="Arial"/>
          <w:b/>
          <w:bCs/>
          <w:lang w:val="pt-BR"/>
        </w:rPr>
        <w:lastRenderedPageBreak/>
        <w:t>Concentração Predominante em Valores Inferiores:</w:t>
      </w:r>
      <w:r w:rsidRPr="00C84D4A">
        <w:rPr>
          <w:rFonts w:ascii="Arial" w:hAnsi="Arial" w:cs="Arial"/>
          <w:lang w:val="pt-BR"/>
        </w:rPr>
        <w:t xml:space="preserve"> Para as três primeiras tabelas analisadas (Óbitos por Acidentes de Transporte CID-10:104, </w:t>
      </w:r>
      <w:proofErr w:type="gramStart"/>
      <w:r w:rsidRPr="00C84D4A">
        <w:rPr>
          <w:rFonts w:ascii="Arial" w:hAnsi="Arial" w:cs="Arial"/>
          <w:lang w:val="pt-BR"/>
        </w:rPr>
        <w:t>Total</w:t>
      </w:r>
      <w:proofErr w:type="gramEnd"/>
      <w:r w:rsidRPr="00C84D4A">
        <w:rPr>
          <w:rFonts w:ascii="Arial" w:hAnsi="Arial" w:cs="Arial"/>
          <w:lang w:val="pt-BR"/>
        </w:rPr>
        <w:t xml:space="preserve"> de Óbitos em Vias Públicas, e Óbitos por Acidentes de Transporte em Vias Públicas), observa-se uma clara assimetria à direita. Isso significa que a maioria das regiões apresenta um número de óbitos relativamente menor, enquanto poucas regiões (consistentemente Nordeste e Sudeste) exibem números significativamente mais altos, puxando a média para cima e alongando a cauda superior da distribuição. Essa concentração em valores inferiores com alguns valores altos é um padrão comum em dados socioeconômicos e de saúde distribuídos regionalmente em países com grandes disparidades.</w:t>
      </w:r>
    </w:p>
    <w:p w14:paraId="24521D29" w14:textId="77777777" w:rsidR="00C84D4A" w:rsidRPr="00C84D4A" w:rsidRDefault="00C84D4A" w:rsidP="00C84D4A">
      <w:pPr>
        <w:numPr>
          <w:ilvl w:val="0"/>
          <w:numId w:val="6"/>
        </w:numPr>
        <w:spacing w:line="360" w:lineRule="auto"/>
        <w:jc w:val="both"/>
        <w:rPr>
          <w:rFonts w:ascii="Arial" w:hAnsi="Arial" w:cs="Arial"/>
          <w:lang w:val="pt-BR"/>
        </w:rPr>
      </w:pPr>
      <w:r w:rsidRPr="00C84D4A">
        <w:rPr>
          <w:rFonts w:ascii="Arial" w:hAnsi="Arial" w:cs="Arial"/>
          <w:b/>
          <w:bCs/>
          <w:lang w:val="pt-BR"/>
        </w:rPr>
        <w:t>Mudança de Padrão para Ocupantes de Veículos:</w:t>
      </w:r>
      <w:r w:rsidRPr="00C84D4A">
        <w:rPr>
          <w:rFonts w:ascii="Arial" w:hAnsi="Arial" w:cs="Arial"/>
          <w:lang w:val="pt-BR"/>
        </w:rPr>
        <w:t xml:space="preserve"> A quarta tabela (Óbitos de Ocupantes de Automóvel em Acidentes de Transporte em Vias Públicas) apresenta uma leve assimetria à esquerda. A média é inferior à mediana, e a distância (Mediana-Q1) é maior que (Q3-Mediana). Isso sugere uma maior concentração de regiões com valores mais elevados ou uma dispersão maior nos valores mais baixos para este tipo específico de óbito. Este resultado contrasta com os anteriores e pode indicar que a problemática dos óbitos de ocupantes de veículos é distribuída de forma diferente entre as regiões, talvez com menos regiões apresentando números extremamente baixos. Isso é consistente com o CV mais elevado para "Ocupantes de Veículos" (71.3%) encontrado na Entrega 2, que indicava maior variabilidade regional para este grupo.</w:t>
      </w:r>
    </w:p>
    <w:p w14:paraId="7D356B55" w14:textId="77777777" w:rsidR="00C84D4A" w:rsidRPr="00C84D4A" w:rsidRDefault="00C84D4A" w:rsidP="00C84D4A">
      <w:pPr>
        <w:numPr>
          <w:ilvl w:val="0"/>
          <w:numId w:val="6"/>
        </w:numPr>
        <w:spacing w:line="360" w:lineRule="auto"/>
        <w:jc w:val="both"/>
        <w:rPr>
          <w:rFonts w:ascii="Arial" w:hAnsi="Arial" w:cs="Arial"/>
          <w:lang w:val="pt-BR"/>
        </w:rPr>
      </w:pPr>
      <w:r w:rsidRPr="00C84D4A">
        <w:rPr>
          <w:rFonts w:ascii="Arial" w:hAnsi="Arial" w:cs="Arial"/>
          <w:b/>
          <w:bCs/>
          <w:lang w:val="pt-BR"/>
        </w:rPr>
        <w:t>Probabilidades Regionais:</w:t>
      </w:r>
      <w:r w:rsidRPr="00C84D4A">
        <w:rPr>
          <w:rFonts w:ascii="Arial" w:hAnsi="Arial" w:cs="Arial"/>
          <w:lang w:val="pt-BR"/>
        </w:rPr>
        <w:t xml:space="preserve"> Em todos os cenários, a probabilidade de uma região aleatória apresentar um número de óbitos acima da mediana é de 40% (2 em 5 regiões). A probabilidade de uma região estar no extremo superior (acima de Q3, representando o valor mais alto ou os dois mais altos) ou no extremo inferior (abaixo de Q1) foi geralmente de 20% (1 em 5 regiões, quando o quartil não era formado por um valor que também era o mínimo/máximo do conjunto).</w:t>
      </w:r>
    </w:p>
    <w:p w14:paraId="056399FD" w14:textId="77777777" w:rsidR="00C84D4A" w:rsidRPr="00C84D4A" w:rsidRDefault="00C84D4A" w:rsidP="00C84D4A">
      <w:pPr>
        <w:numPr>
          <w:ilvl w:val="0"/>
          <w:numId w:val="6"/>
        </w:numPr>
        <w:spacing w:line="360" w:lineRule="auto"/>
        <w:jc w:val="both"/>
        <w:rPr>
          <w:rFonts w:ascii="Arial" w:hAnsi="Arial" w:cs="Arial"/>
          <w:lang w:val="pt-BR"/>
        </w:rPr>
      </w:pPr>
      <w:r w:rsidRPr="00C84D4A">
        <w:rPr>
          <w:rFonts w:ascii="Arial" w:hAnsi="Arial" w:cs="Arial"/>
          <w:b/>
          <w:bCs/>
          <w:lang w:val="pt-BR"/>
        </w:rPr>
        <w:lastRenderedPageBreak/>
        <w:t>Importância da Análise Detalhada:</w:t>
      </w:r>
      <w:r w:rsidRPr="00C84D4A">
        <w:rPr>
          <w:rFonts w:ascii="Arial" w:hAnsi="Arial" w:cs="Arial"/>
          <w:lang w:val="pt-BR"/>
        </w:rPr>
        <w:t xml:space="preserve"> A diferença na forma da distribuição entre as causas de óbito (geral vs. ocupantes de veículos) reforça a necessidade de análises específicas para diferentes tipos de acidentes e vítimas, como já destacado na Entrega 1 ao calcular percentagens distintas para estes grupos.</w:t>
      </w:r>
    </w:p>
    <w:p w14:paraId="591726FF" w14:textId="77777777" w:rsidR="00C84D4A" w:rsidRPr="00C84D4A" w:rsidRDefault="00C84D4A" w:rsidP="00C84D4A">
      <w:pPr>
        <w:spacing w:line="360" w:lineRule="auto"/>
        <w:jc w:val="both"/>
        <w:rPr>
          <w:rFonts w:ascii="Arial" w:hAnsi="Arial" w:cs="Arial"/>
          <w:lang w:val="pt-BR"/>
        </w:rPr>
      </w:pPr>
      <w:r w:rsidRPr="00C84D4A">
        <w:rPr>
          <w:rFonts w:ascii="Arial" w:hAnsi="Arial" w:cs="Arial"/>
          <w:b/>
          <w:bCs/>
          <w:lang w:val="pt-BR"/>
        </w:rPr>
        <w:t>5. Limitações</w:t>
      </w:r>
      <w:r w:rsidRPr="00C84D4A">
        <w:rPr>
          <w:rFonts w:ascii="Arial" w:hAnsi="Arial" w:cs="Arial"/>
          <w:lang w:val="pt-BR"/>
        </w:rPr>
        <w:br/>
        <w:t>As conclusões sobre concentração e as probabilidades calculadas são baseadas em um conjunto de dados pequeno (N=5 regiões). Embora o box-</w:t>
      </w:r>
      <w:proofErr w:type="spellStart"/>
      <w:r w:rsidRPr="00C84D4A">
        <w:rPr>
          <w:rFonts w:ascii="Arial" w:hAnsi="Arial" w:cs="Arial"/>
          <w:lang w:val="pt-BR"/>
        </w:rPr>
        <w:t>plot</w:t>
      </w:r>
      <w:proofErr w:type="spellEnd"/>
      <w:r w:rsidRPr="00C84D4A">
        <w:rPr>
          <w:rFonts w:ascii="Arial" w:hAnsi="Arial" w:cs="Arial"/>
          <w:lang w:val="pt-BR"/>
        </w:rPr>
        <w:t xml:space="preserve"> seja uma ferramenta útil para visualizar a distribuição, a robustez estatística de inferências sobre a população geral de "eventos" (se cada morte fosse um evento) é limitada pela agregação dos dados em nível regional. A análise trata cada região como uma observação única, o que é apropriado para comparar regiões, mas não para inferir sobre a distribuição dos óbitos individuais dentro delas sem acesso aos dados brutos.</w:t>
      </w:r>
    </w:p>
    <w:p w14:paraId="683FE54B" w14:textId="77777777" w:rsidR="00C84D4A" w:rsidRPr="00C84D4A" w:rsidRDefault="00C84D4A" w:rsidP="00C84D4A">
      <w:pPr>
        <w:spacing w:line="360" w:lineRule="auto"/>
        <w:jc w:val="both"/>
        <w:rPr>
          <w:rFonts w:ascii="Arial" w:hAnsi="Arial" w:cs="Arial"/>
          <w:lang w:val="pt-BR"/>
        </w:rPr>
      </w:pPr>
      <w:r w:rsidRPr="00C84D4A">
        <w:rPr>
          <w:rFonts w:ascii="Arial" w:hAnsi="Arial" w:cs="Arial"/>
          <w:lang w:val="pt-BR"/>
        </w:rPr>
        <w:t>Esta análise complementa as entregas anteriores, fornecendo uma perspectiva visual e probabilística simplificada sobre a dispersão dos dados de mortalidade no trânsito entre as regiões brasileiras.</w:t>
      </w:r>
    </w:p>
    <w:p w14:paraId="6F67951A" w14:textId="77777777" w:rsidR="001011DD" w:rsidRPr="00C84D4A" w:rsidRDefault="001011DD" w:rsidP="00C84D4A">
      <w:pPr>
        <w:spacing w:line="360" w:lineRule="auto"/>
        <w:jc w:val="both"/>
        <w:rPr>
          <w:rFonts w:ascii="Arial" w:hAnsi="Arial" w:cs="Arial"/>
          <w:lang w:val="pt-BR"/>
        </w:rPr>
      </w:pPr>
    </w:p>
    <w:sectPr w:rsidR="001011DD" w:rsidRPr="00C84D4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70C3"/>
    <w:multiLevelType w:val="multilevel"/>
    <w:tmpl w:val="52D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13770"/>
    <w:multiLevelType w:val="multilevel"/>
    <w:tmpl w:val="01D24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E293A"/>
    <w:multiLevelType w:val="hybridMultilevel"/>
    <w:tmpl w:val="7032B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D5274"/>
    <w:multiLevelType w:val="multilevel"/>
    <w:tmpl w:val="DD4C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62BDF"/>
    <w:multiLevelType w:val="hybridMultilevel"/>
    <w:tmpl w:val="93720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F30B3"/>
    <w:multiLevelType w:val="multilevel"/>
    <w:tmpl w:val="138E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101FC"/>
    <w:multiLevelType w:val="multilevel"/>
    <w:tmpl w:val="BE3A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61608"/>
    <w:multiLevelType w:val="multilevel"/>
    <w:tmpl w:val="C2A4C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310106">
    <w:abstractNumId w:val="0"/>
  </w:num>
  <w:num w:numId="2" w16cid:durableId="228616210">
    <w:abstractNumId w:val="7"/>
  </w:num>
  <w:num w:numId="3" w16cid:durableId="1089960723">
    <w:abstractNumId w:val="3"/>
  </w:num>
  <w:num w:numId="4" w16cid:durableId="55251618">
    <w:abstractNumId w:val="6"/>
  </w:num>
  <w:num w:numId="5" w16cid:durableId="2106342622">
    <w:abstractNumId w:val="1"/>
  </w:num>
  <w:num w:numId="6" w16cid:durableId="618878708">
    <w:abstractNumId w:val="5"/>
  </w:num>
  <w:num w:numId="7" w16cid:durableId="498470760">
    <w:abstractNumId w:val="4"/>
  </w:num>
  <w:num w:numId="8" w16cid:durableId="1347289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4A"/>
    <w:rsid w:val="001011DD"/>
    <w:rsid w:val="00167AA8"/>
    <w:rsid w:val="00627E30"/>
    <w:rsid w:val="00C8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EB0E"/>
  <w15:chartTrackingRefBased/>
  <w15:docId w15:val="{FC2A261C-7E4C-4F5F-AF0D-54D0D4BD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D4A"/>
    <w:rPr>
      <w:rFonts w:eastAsiaTheme="majorEastAsia" w:cstheme="majorBidi"/>
      <w:color w:val="272727" w:themeColor="text1" w:themeTint="D8"/>
    </w:rPr>
  </w:style>
  <w:style w:type="paragraph" w:styleId="Title">
    <w:name w:val="Title"/>
    <w:basedOn w:val="Normal"/>
    <w:next w:val="Normal"/>
    <w:link w:val="TitleChar"/>
    <w:uiPriority w:val="10"/>
    <w:qFormat/>
    <w:rsid w:val="00C84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D4A"/>
    <w:pPr>
      <w:spacing w:before="160"/>
      <w:jc w:val="center"/>
    </w:pPr>
    <w:rPr>
      <w:i/>
      <w:iCs/>
      <w:color w:val="404040" w:themeColor="text1" w:themeTint="BF"/>
    </w:rPr>
  </w:style>
  <w:style w:type="character" w:customStyle="1" w:styleId="QuoteChar">
    <w:name w:val="Quote Char"/>
    <w:basedOn w:val="DefaultParagraphFont"/>
    <w:link w:val="Quote"/>
    <w:uiPriority w:val="29"/>
    <w:rsid w:val="00C84D4A"/>
    <w:rPr>
      <w:i/>
      <w:iCs/>
      <w:color w:val="404040" w:themeColor="text1" w:themeTint="BF"/>
    </w:rPr>
  </w:style>
  <w:style w:type="paragraph" w:styleId="ListParagraph">
    <w:name w:val="List Paragraph"/>
    <w:basedOn w:val="Normal"/>
    <w:uiPriority w:val="34"/>
    <w:qFormat/>
    <w:rsid w:val="00C84D4A"/>
    <w:pPr>
      <w:ind w:left="720"/>
      <w:contextualSpacing/>
    </w:pPr>
  </w:style>
  <w:style w:type="character" w:styleId="IntenseEmphasis">
    <w:name w:val="Intense Emphasis"/>
    <w:basedOn w:val="DefaultParagraphFont"/>
    <w:uiPriority w:val="21"/>
    <w:qFormat/>
    <w:rsid w:val="00C84D4A"/>
    <w:rPr>
      <w:i/>
      <w:iCs/>
      <w:color w:val="0F4761" w:themeColor="accent1" w:themeShade="BF"/>
    </w:rPr>
  </w:style>
  <w:style w:type="paragraph" w:styleId="IntenseQuote">
    <w:name w:val="Intense Quote"/>
    <w:basedOn w:val="Normal"/>
    <w:next w:val="Normal"/>
    <w:link w:val="IntenseQuoteChar"/>
    <w:uiPriority w:val="30"/>
    <w:qFormat/>
    <w:rsid w:val="00C84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D4A"/>
    <w:rPr>
      <w:i/>
      <w:iCs/>
      <w:color w:val="0F4761" w:themeColor="accent1" w:themeShade="BF"/>
    </w:rPr>
  </w:style>
  <w:style w:type="character" w:styleId="IntenseReference">
    <w:name w:val="Intense Reference"/>
    <w:basedOn w:val="DefaultParagraphFont"/>
    <w:uiPriority w:val="32"/>
    <w:qFormat/>
    <w:rsid w:val="00C84D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15764">
      <w:bodyDiv w:val="1"/>
      <w:marLeft w:val="0"/>
      <w:marRight w:val="0"/>
      <w:marTop w:val="0"/>
      <w:marBottom w:val="0"/>
      <w:divBdr>
        <w:top w:val="none" w:sz="0" w:space="0" w:color="auto"/>
        <w:left w:val="none" w:sz="0" w:space="0" w:color="auto"/>
        <w:bottom w:val="none" w:sz="0" w:space="0" w:color="auto"/>
        <w:right w:val="none" w:sz="0" w:space="0" w:color="auto"/>
      </w:divBdr>
    </w:div>
    <w:div w:id="2140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Maia 24026011</dc:creator>
  <cp:keywords/>
  <dc:description/>
  <cp:lastModifiedBy>Pedro Maia 24026011</cp:lastModifiedBy>
  <cp:revision>1</cp:revision>
  <dcterms:created xsi:type="dcterms:W3CDTF">2025-05-18T01:35:00Z</dcterms:created>
  <dcterms:modified xsi:type="dcterms:W3CDTF">2025-05-18T01:40:00Z</dcterms:modified>
</cp:coreProperties>
</file>