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Entrega 1 PI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Contabilidade e Finanças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Relação entre os Dados Financeiros e as Demonstrações Contábeis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Salário Mínimo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aumento do salário mínimo impacta diretamente os custos com folha de pagamento das empresas e o poder de compra das famílias.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Empresas com alta dependência de mão de obra podem observar um crescimento em passivos (obrigações trabalhistas), o que pode impactar sua liquidez.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setor público, reajustes salariais refletem nos gastos governamentais, afetando o orçamento e os indicadores fiscais.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IPCA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inflação, medida pelo IPCA, afeta os custos de insumos e operações empresariais, reduzindo a margem de lucro se os preços não forem ajustados adequadamente.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Empresas que possuem alta dependência de matérias-primas importadas podem enfrentar maiores pressões inflacionárias.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o setor público, um aumento significativo no IPCA pode indicar pressão sobre políticas salariais e gastos sociais.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Endividamento das Famílias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nível de endividamento reflete diretamente na capacidade de consumo das famílias, influenciando as receitas das empresas.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endividamento elevado pode resultar na inadimplência, reduzindo as receitas de setores como varejo e serviços financeiros.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setor público, o aumento do endividamento pode indicar uma maior necessidade de programas de auxílio governamental.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5ucbl2fvf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Aplicabilidade na Análise Financeira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econômicos coletados podem ser utilizados para: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Analisar Tendências</w:t>
      </w:r>
      <w:r w:rsidDel="00000000" w:rsidR="00000000" w:rsidRPr="00000000">
        <w:rPr>
          <w:rtl w:val="0"/>
        </w:rPr>
        <w:t xml:space="preserve">: Compreender como a inflação e o salário mínimo afetam a rentabilidade das empresas ao longo do tempo.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Avaliar Riscos</w:t>
      </w:r>
      <w:r w:rsidDel="00000000" w:rsidR="00000000" w:rsidRPr="00000000">
        <w:rPr>
          <w:rtl w:val="0"/>
        </w:rPr>
        <w:t xml:space="preserve">: Empresas endividadas podem ser mais impactadas por oscilações inflacionárias, por mudanças nas condições de consumo e variação do salário mínimo.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Apoiar Decisões de Investimento</w:t>
      </w:r>
      <w:r w:rsidDel="00000000" w:rsidR="00000000" w:rsidRPr="00000000">
        <w:rPr>
          <w:rtl w:val="0"/>
        </w:rPr>
        <w:t xml:space="preserve">: Compreender se um setor ou uma empresa está bem posicionada para enfrentar desafios econômicos.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5qcwedp5y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k3z1zcmed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zs2oip8i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relação entre o salário mínimo, a inflação e o endividamento das famílias desempenha um papel fundamental na análise da saúde financeira de empresas e do setor público. Esses indicadores impactam diretamente a rentabilidade, os custos operacionais e a capacidade de consumo da população.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desses dados, é possível identificar tendências econômicas, avaliar riscos financeiros e apoiar decisões estratégicas, seja para otimizar a gestão de recursos ou para planejar investimentos. Portanto, a análise contínua desses fatores permite uma melhor compreensão do cenário econômico e auxilia na tomada de decisões mais assertivas e sustentáveis.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