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845E6" w14:textId="4988C599" w:rsidR="00BF4395" w:rsidRDefault="00000000">
      <w:pPr>
        <w:rPr>
          <w:b/>
          <w:sz w:val="26"/>
          <w:szCs w:val="26"/>
          <w:highlight w:val="white"/>
        </w:rPr>
      </w:pPr>
      <w:r>
        <w:rPr>
          <w:highlight w:val="yellow"/>
        </w:rPr>
        <w:br/>
      </w:r>
      <w:r>
        <w:rPr>
          <w:highlight w:val="yellow"/>
        </w:rPr>
        <w:br/>
      </w:r>
      <w:r>
        <w:rPr>
          <w:b/>
          <w:sz w:val="26"/>
          <w:szCs w:val="26"/>
          <w:highlight w:val="white"/>
        </w:rPr>
        <w:t>Conclusão da Análise Horizontal</w:t>
      </w:r>
    </w:p>
    <w:p w14:paraId="6A1E63D1" w14:textId="77777777" w:rsidR="00BF4395" w:rsidRDefault="00000000">
      <w:pPr>
        <w:spacing w:before="240" w:after="240"/>
        <w:rPr>
          <w:highlight w:val="white"/>
        </w:rPr>
      </w:pPr>
      <w:r>
        <w:rPr>
          <w:highlight w:val="white"/>
        </w:rPr>
        <w:t xml:space="preserve">Com base na análise horizontal dos indicadores </w:t>
      </w:r>
      <w:proofErr w:type="gramStart"/>
      <w:r>
        <w:rPr>
          <w:highlight w:val="white"/>
        </w:rPr>
        <w:t>Salário Mínimo</w:t>
      </w:r>
      <w:proofErr w:type="gramEnd"/>
      <w:r>
        <w:rPr>
          <w:highlight w:val="white"/>
        </w:rPr>
        <w:t>, IPCA e Endividamento das Famílias, é possível traçar uma leitura crítica da trajetória econômica brasileira nas últimas décadas, destacando padrões históricos e projetando cenários futuros com base nessas tendências.</w:t>
      </w:r>
    </w:p>
    <w:p w14:paraId="2AE82BE8" w14:textId="77777777" w:rsidR="00BF4395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 xml:space="preserve">1. </w:t>
      </w:r>
      <w:proofErr w:type="gramStart"/>
      <w:r>
        <w:rPr>
          <w:b/>
          <w:highlight w:val="white"/>
        </w:rPr>
        <w:t>Salário Mínimo</w:t>
      </w:r>
      <w:proofErr w:type="gramEnd"/>
    </w:p>
    <w:p w14:paraId="27E93B19" w14:textId="77777777" w:rsidR="00BF4395" w:rsidRDefault="00000000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 xml:space="preserve">O comportamento do </w:t>
      </w:r>
      <w:proofErr w:type="gramStart"/>
      <w:r>
        <w:rPr>
          <w:highlight w:val="white"/>
        </w:rPr>
        <w:t>salário mínimo</w:t>
      </w:r>
      <w:proofErr w:type="gramEnd"/>
      <w:r>
        <w:rPr>
          <w:highlight w:val="white"/>
        </w:rPr>
        <w:t xml:space="preserve"> indica uma tendência de crescimento real até 2019, com aumentos consistentes acima da inflação, refletindo políticas públicas voltadas à valorização do poder de compra das camadas mais vulneráveis da população. Entretanto, a desaceleração em 2020 (+4,66%) e a aparente anomalia em 2021 (+116,89%) exigem atenção: este último salto, se não se tratar de erro metodológico, pode indicar mudanças abruptas nas políticas de remuneração mínima, eventualmente ligadas a pressões sociais e eleitorais.</w:t>
      </w:r>
      <w:r>
        <w:rPr>
          <w:highlight w:val="white"/>
        </w:rPr>
        <w:br/>
      </w:r>
      <w:r>
        <w:rPr>
          <w:highlight w:val="white"/>
        </w:rPr>
        <w:tab/>
        <w:t xml:space="preserve"> </w:t>
      </w:r>
      <w:r>
        <w:rPr>
          <w:b/>
          <w:highlight w:val="white"/>
        </w:rPr>
        <w:t>Projeção:</w:t>
      </w:r>
      <w:r>
        <w:rPr>
          <w:highlight w:val="white"/>
        </w:rPr>
        <w:t xml:space="preserve"> A continuidade da valorização dependerá da sustentabilidade fiscal e da trajetória inflacionária. Com inflação controlada e crescimento moderado, espera-se reajustes entre 5% e 7% ao ano. Cenários de instabilidade fiscal ou desaceleração econômica tendem a conter esse crescimento.</w:t>
      </w:r>
    </w:p>
    <w:p w14:paraId="398D036D" w14:textId="77777777" w:rsidR="00BF4395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  <w:highlight w:val="white"/>
        </w:rPr>
      </w:pPr>
      <w:bookmarkStart w:id="0" w:name="_1lrxlpc4ab07" w:colFirst="0" w:colLast="0"/>
      <w:bookmarkEnd w:id="0"/>
      <w:r>
        <w:rPr>
          <w:b/>
          <w:color w:val="000000"/>
          <w:sz w:val="22"/>
          <w:szCs w:val="22"/>
          <w:highlight w:val="white"/>
        </w:rPr>
        <w:t>2. IPCA (Inflação)</w:t>
      </w:r>
    </w:p>
    <w:p w14:paraId="71C9422A" w14:textId="77777777" w:rsidR="00BF4395" w:rsidRDefault="00000000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>O IPCA mostra oscilações marcantes ao longo dos anos, refletindo vulnerabilidades da economia brasileira diante de choques externos e internos. O pico de +53,66% em 2015 coincide com crise política e cambial. A explosão de +116,89% em 2021 reflete efeitos da pandemia, desorganização das cadeias produtivas e pressões fiscais.</w:t>
      </w:r>
      <w:r>
        <w:rPr>
          <w:highlight w:val="white"/>
        </w:rPr>
        <w:br/>
      </w:r>
      <w:r>
        <w:rPr>
          <w:highlight w:val="white"/>
        </w:rPr>
        <w:tab/>
        <w:t xml:space="preserve"> </w:t>
      </w:r>
      <w:r>
        <w:rPr>
          <w:b/>
          <w:highlight w:val="white"/>
        </w:rPr>
        <w:t>Situação Atual:</w:t>
      </w:r>
      <w:r>
        <w:rPr>
          <w:highlight w:val="white"/>
        </w:rPr>
        <w:t xml:space="preserve"> Em 2024, a inflação voltou a ser motivo de preocupação, com aumento de preços impulsionado principalmente por </w:t>
      </w:r>
      <w:r>
        <w:rPr>
          <w:b/>
          <w:highlight w:val="white"/>
        </w:rPr>
        <w:t>gastos públicos elevados e expansão fiscal contínua</w:t>
      </w:r>
      <w:r>
        <w:rPr>
          <w:highlight w:val="white"/>
        </w:rPr>
        <w:t>. O aumento de despesas governamentais sem correspondente crescimento de receita pressiona a demanda agregada e enfraquece a credibilidade da política monetária, exigindo taxas de juros elevadas para conter os efeitos inflacionários.</w:t>
      </w:r>
      <w:r>
        <w:rPr>
          <w:highlight w:val="white"/>
        </w:rPr>
        <w:br/>
      </w:r>
      <w:r>
        <w:rPr>
          <w:highlight w:val="white"/>
        </w:rPr>
        <w:tab/>
        <w:t xml:space="preserve"> </w:t>
      </w:r>
      <w:r>
        <w:rPr>
          <w:b/>
          <w:highlight w:val="white"/>
        </w:rPr>
        <w:t>Projeção:</w:t>
      </w:r>
      <w:r>
        <w:rPr>
          <w:highlight w:val="white"/>
        </w:rPr>
        <w:t xml:space="preserve"> Se os gastos públicos continuarem em patamar elevado sem reformas fiscais significativas, a inflação pode ultrapassar o centro da meta do Banco Central (3%). Projeta-se, assim, uma inflação entre 4% e 6% para os próximos anos, com risco de alta em caso de instabilidade fiscal persistente.</w:t>
      </w:r>
      <w:r>
        <w:rPr>
          <w:highlight w:val="white"/>
        </w:rPr>
        <w:br/>
      </w:r>
    </w:p>
    <w:p w14:paraId="50FC2FBB" w14:textId="77777777" w:rsidR="00BF4395" w:rsidRDefault="00BF4395">
      <w:pPr>
        <w:spacing w:before="240" w:after="240"/>
        <w:rPr>
          <w:highlight w:val="white"/>
        </w:rPr>
      </w:pPr>
    </w:p>
    <w:p w14:paraId="75BFF71E" w14:textId="77777777" w:rsidR="00BF4395" w:rsidRDefault="00BF4395">
      <w:pPr>
        <w:spacing w:before="240" w:after="240"/>
        <w:rPr>
          <w:highlight w:val="white"/>
        </w:rPr>
      </w:pPr>
    </w:p>
    <w:p w14:paraId="60782019" w14:textId="77777777" w:rsidR="00BF4395" w:rsidRDefault="00000000">
      <w:pPr>
        <w:spacing w:before="240" w:after="240"/>
        <w:ind w:firstLine="720"/>
        <w:rPr>
          <w:b/>
          <w:highlight w:val="white"/>
        </w:rPr>
      </w:pPr>
      <w:r>
        <w:rPr>
          <w:highlight w:val="white"/>
        </w:rPr>
        <w:br/>
      </w:r>
      <w:r>
        <w:rPr>
          <w:b/>
          <w:highlight w:val="white"/>
        </w:rPr>
        <w:t>3. Endividamento das Famílias</w:t>
      </w:r>
    </w:p>
    <w:p w14:paraId="7B7455FD" w14:textId="77777777" w:rsidR="00BF4395" w:rsidRDefault="00000000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 xml:space="preserve">O crescimento do endividamento indica fragilidade na saúde financeira das famílias brasileiras. O aumento em 2021 (+14,61%) destaca o uso intensificado de crédito diante da </w:t>
      </w:r>
      <w:r>
        <w:rPr>
          <w:highlight w:val="white"/>
        </w:rPr>
        <w:lastRenderedPageBreak/>
        <w:t>perda de poder de compra e incertezas econômicas.</w:t>
      </w:r>
      <w:r>
        <w:rPr>
          <w:highlight w:val="white"/>
        </w:rPr>
        <w:br/>
        <w:t xml:space="preserve"> </w:t>
      </w:r>
      <w:r>
        <w:rPr>
          <w:highlight w:val="white"/>
        </w:rPr>
        <w:br/>
      </w:r>
      <w:r>
        <w:rPr>
          <w:highlight w:val="white"/>
        </w:rPr>
        <w:tab/>
      </w:r>
      <w:r>
        <w:rPr>
          <w:b/>
          <w:highlight w:val="white"/>
        </w:rPr>
        <w:t>Projeção:</w:t>
      </w:r>
      <w:r>
        <w:rPr>
          <w:highlight w:val="white"/>
        </w:rPr>
        <w:t xml:space="preserve"> O nível de endividamento está diretamente ligado à inflação, aos juros e à renda real. Com juros elevados para conter a inflação — em parte causada pelo excesso de gastos públicos —, há risco de deterioração da capacidade de pagamento. Para reversão desse quadro, é necessário combinar </w:t>
      </w:r>
      <w:r>
        <w:rPr>
          <w:b/>
          <w:highlight w:val="white"/>
        </w:rPr>
        <w:t>educação financeira, programas de renegociação de dívidas e crescimento sustentável da renda</w:t>
      </w:r>
      <w:r>
        <w:rPr>
          <w:highlight w:val="white"/>
        </w:rPr>
        <w:t>.</w:t>
      </w:r>
    </w:p>
    <w:p w14:paraId="3913D53B" w14:textId="77777777" w:rsidR="00BF4395" w:rsidRDefault="00000000">
      <w:pPr>
        <w:spacing w:before="240" w:after="240"/>
        <w:rPr>
          <w:highlight w:val="white"/>
        </w:rPr>
      </w:pPr>
      <w:r>
        <w:pict w14:anchorId="7E1E5F46">
          <v:rect id="_x0000_i1025" style="width:0;height:1.5pt" o:hralign="center" o:hrstd="t" o:hr="t" fillcolor="#a0a0a0" stroked="f"/>
        </w:pict>
      </w:r>
    </w:p>
    <w:p w14:paraId="48E7F7E6" w14:textId="77777777" w:rsidR="00BF4395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highlight w:val="white"/>
        </w:rPr>
      </w:pPr>
      <w:bookmarkStart w:id="1" w:name="_je2b9fbdyyoi" w:colFirst="0" w:colLast="0"/>
      <w:bookmarkEnd w:id="1"/>
      <w:r>
        <w:rPr>
          <w:b/>
          <w:color w:val="000000"/>
          <w:sz w:val="26"/>
          <w:szCs w:val="26"/>
          <w:highlight w:val="white"/>
        </w:rPr>
        <w:t>Conclusão Geral</w:t>
      </w:r>
    </w:p>
    <w:p w14:paraId="061E06A1" w14:textId="77777777" w:rsidR="00BF4395" w:rsidRDefault="00000000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 xml:space="preserve">A análise horizontal revela avanços na renda mínima, mas também pressões inflacionárias persistentes e crescimento preocupante do endividamento. Para o futuro, </w:t>
      </w:r>
      <w:r>
        <w:rPr>
          <w:b/>
          <w:highlight w:val="white"/>
        </w:rPr>
        <w:t>a estabilidade econômica dependerá fortemente da consolidação fiscal</w:t>
      </w:r>
      <w:r>
        <w:rPr>
          <w:highlight w:val="white"/>
        </w:rPr>
        <w:t xml:space="preserve">. Os </w:t>
      </w:r>
      <w:r>
        <w:rPr>
          <w:b/>
          <w:highlight w:val="white"/>
        </w:rPr>
        <w:t>gastos públicos excessivos têm sido um fator-chave para o aumento da inflação recente</w:t>
      </w:r>
      <w:r>
        <w:rPr>
          <w:highlight w:val="white"/>
        </w:rPr>
        <w:t>, exigindo postura firme das autoridades monetárias e fiscais.</w:t>
      </w:r>
    </w:p>
    <w:p w14:paraId="48F0FA52" w14:textId="77777777" w:rsidR="00BF4395" w:rsidRDefault="00000000">
      <w:pPr>
        <w:spacing w:before="240" w:after="240"/>
        <w:ind w:firstLine="720"/>
        <w:rPr>
          <w:highlight w:val="white"/>
        </w:rPr>
      </w:pPr>
      <w:r>
        <w:rPr>
          <w:b/>
          <w:highlight w:val="white"/>
        </w:rPr>
        <w:t>Cenário otimista</w:t>
      </w:r>
      <w:r>
        <w:rPr>
          <w:highlight w:val="white"/>
        </w:rPr>
        <w:t>: Com ajuste fiscal, controle da inflação e retomada econômica, projeta-se recuperação da renda real e estabilização do endividamento.</w:t>
      </w:r>
      <w:r>
        <w:rPr>
          <w:highlight w:val="white"/>
        </w:rPr>
        <w:br/>
      </w:r>
      <w:r>
        <w:rPr>
          <w:highlight w:val="white"/>
        </w:rPr>
        <w:tab/>
      </w:r>
      <w:r>
        <w:rPr>
          <w:b/>
          <w:highlight w:val="white"/>
        </w:rPr>
        <w:t>Cenário pessimista</w:t>
      </w:r>
      <w:r>
        <w:rPr>
          <w:highlight w:val="white"/>
        </w:rPr>
        <w:t>: Caso persistam desequilíbrios fiscais e ausência de reformas estruturais, a inflação pode se manter elevada, deteriorando o poder de compra e ampliando o risco de inadimplência entre as famílias.</w:t>
      </w:r>
    </w:p>
    <w:p w14:paraId="5FBFFF98" w14:textId="77777777" w:rsidR="00BF4395" w:rsidRDefault="00000000">
      <w:pPr>
        <w:spacing w:before="240" w:after="240"/>
        <w:ind w:firstLine="720"/>
      </w:pPr>
      <w:r>
        <w:rPr>
          <w:highlight w:val="white"/>
        </w:rPr>
        <w:t>A trajetória futura dependerá da capacidade do país em alinhar políticas públicas a uma visão de longo prazo, baseada em responsabilidade fiscal, investimento produtivo e proteção ao poder aquisitivo da população.</w:t>
      </w:r>
    </w:p>
    <w:tbl>
      <w:tblPr>
        <w:tblStyle w:val="a"/>
        <w:tblpPr w:leftFromText="180" w:rightFromText="180" w:topFromText="180" w:bottomFromText="180" w:vertAnchor="text" w:tblpX="-15" w:tblpY="7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870"/>
        <w:gridCol w:w="1005"/>
        <w:gridCol w:w="945"/>
        <w:gridCol w:w="930"/>
        <w:gridCol w:w="960"/>
        <w:gridCol w:w="1815"/>
        <w:gridCol w:w="1830"/>
      </w:tblGrid>
      <w:tr w:rsidR="00BF4395" w14:paraId="6039C450" w14:textId="77777777">
        <w:trPr>
          <w:trHeight w:val="107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3BD41F5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Evento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E9848BD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Ano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32B7AB6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Salário Médio Antes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60F824B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Salário Médio Depois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C06397B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IPCA Médio Antes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5D81367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IPCA Médio Depois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D6D29AB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Endividamento Médio Antes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2FE43108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Endividamento Médio Depois</w:t>
            </w:r>
          </w:p>
        </w:tc>
      </w:tr>
      <w:tr w:rsidR="00BF4395" w14:paraId="258D9EF9" w14:textId="77777777">
        <w:trPr>
          <w:trHeight w:val="107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32D2B0C" w14:textId="77777777" w:rsidR="00BF4395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Crise Financeira Global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16D93A1D" w14:textId="77777777" w:rsidR="00BF4395" w:rsidRDefault="00000000">
            <w:pPr>
              <w:spacing w:before="240" w:after="240"/>
            </w:pPr>
            <w:r>
              <w:t>2008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6971A57" w14:textId="77777777" w:rsidR="00BF4395" w:rsidRDefault="00000000">
            <w:pPr>
              <w:spacing w:before="240" w:after="240"/>
            </w:pPr>
            <w:r>
              <w:t>R$ 332,22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0DDA511A" w14:textId="77777777" w:rsidR="00BF4395" w:rsidRDefault="00000000">
            <w:pPr>
              <w:spacing w:before="240" w:after="240"/>
            </w:pPr>
            <w:r>
              <w:t>R$ 534,25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B660F97" w14:textId="77777777" w:rsidR="00BF4395" w:rsidRDefault="00000000">
            <w:pPr>
              <w:spacing w:before="240" w:after="240"/>
            </w:pPr>
            <w:r>
              <w:t>0.3617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70CFB9" w14:textId="77777777" w:rsidR="00BF4395" w:rsidRDefault="00000000">
            <w:pPr>
              <w:spacing w:before="240" w:after="240"/>
            </w:pPr>
            <w:r>
              <w:t>0.4583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3DDCB11" w14:textId="77777777" w:rsidR="00BF4395" w:rsidRDefault="00000000">
            <w:pPr>
              <w:spacing w:before="240" w:after="240"/>
            </w:pPr>
            <w:r>
              <w:t>24,59%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EC4235D" w14:textId="77777777" w:rsidR="00BF4395" w:rsidRDefault="00000000">
            <w:pPr>
              <w:spacing w:before="240" w:after="240"/>
            </w:pPr>
            <w:r>
              <w:t>40,16%</w:t>
            </w:r>
          </w:p>
        </w:tc>
      </w:tr>
      <w:tr w:rsidR="00BF4395" w14:paraId="622F9F57" w14:textId="77777777">
        <w:trPr>
          <w:trHeight w:val="107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518776B" w14:textId="77777777" w:rsidR="00BF4395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Crise Econômica no Brasil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56AA3037" w14:textId="77777777" w:rsidR="00BF4395" w:rsidRDefault="00000000">
            <w:pPr>
              <w:spacing w:before="240" w:after="240"/>
            </w:pPr>
            <w:r>
              <w:t>2015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A08A0D8" w14:textId="77777777" w:rsidR="00BF4395" w:rsidRDefault="00000000">
            <w:pPr>
              <w:spacing w:before="240" w:after="240"/>
            </w:pPr>
            <w:r>
              <w:t>R$ 674,67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180F69C5" w14:textId="77777777" w:rsidR="00BF4395" w:rsidRDefault="00000000">
            <w:pPr>
              <w:spacing w:before="240" w:after="240"/>
            </w:pPr>
            <w:r>
              <w:t>R$ 942,25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259623E" w14:textId="77777777" w:rsidR="00BF4395" w:rsidRDefault="00000000">
            <w:pPr>
              <w:spacing w:before="240" w:after="240"/>
            </w:pPr>
            <w:r>
              <w:t>0.4911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1A966D" w14:textId="77777777" w:rsidR="00BF4395" w:rsidRDefault="00000000">
            <w:pPr>
              <w:spacing w:before="240" w:after="240"/>
            </w:pPr>
            <w:r>
              <w:t>0.3531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909AC63" w14:textId="77777777" w:rsidR="00BF4395" w:rsidRDefault="00000000">
            <w:pPr>
              <w:spacing w:before="240" w:after="240"/>
            </w:pPr>
            <w:r>
              <w:t>46,85%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327352C" w14:textId="77777777" w:rsidR="00BF4395" w:rsidRDefault="00000000">
            <w:pPr>
              <w:spacing w:before="240" w:after="240"/>
            </w:pPr>
            <w:r>
              <w:t>45,69%</w:t>
            </w:r>
          </w:p>
        </w:tc>
      </w:tr>
      <w:tr w:rsidR="00BF4395" w14:paraId="554C1977" w14:textId="77777777">
        <w:trPr>
          <w:trHeight w:val="785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800BBF3" w14:textId="77777777" w:rsidR="00BF4395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Pandemia COVID-19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F372FF9" w14:textId="77777777" w:rsidR="00BF4395" w:rsidRDefault="00000000">
            <w:pPr>
              <w:spacing w:before="240" w:after="240"/>
            </w:pPr>
            <w:r>
              <w:t>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3381D00" w14:textId="77777777" w:rsidR="00BF4395" w:rsidRDefault="00000000">
            <w:pPr>
              <w:spacing w:before="240" w:after="240"/>
            </w:pPr>
            <w:r>
              <w:t>R$ 963,00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14:paraId="4ABD7605" w14:textId="77777777" w:rsidR="00BF4395" w:rsidRDefault="00000000">
            <w:pPr>
              <w:spacing w:before="240" w:after="240"/>
            </w:pPr>
            <w:r>
              <w:t>R$ 1259,50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16582BE" w14:textId="77777777" w:rsidR="00BF4395" w:rsidRDefault="00000000">
            <w:pPr>
              <w:spacing w:before="240" w:after="240"/>
            </w:pPr>
            <w:r>
              <w:t>0.3008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E55A691" w14:textId="77777777" w:rsidR="00BF4395" w:rsidRDefault="00000000">
            <w:pPr>
              <w:spacing w:before="240" w:after="240"/>
            </w:pPr>
            <w:r>
              <w:t>0.5115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6E3BF9A" w14:textId="77777777" w:rsidR="00BF4395" w:rsidRDefault="00000000">
            <w:pPr>
              <w:spacing w:before="240" w:after="240"/>
            </w:pPr>
            <w:r>
              <w:t>45,64%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6A3A2FE3" w14:textId="77777777" w:rsidR="00BF4395" w:rsidRDefault="00000000">
            <w:pPr>
              <w:spacing w:before="240" w:after="240"/>
            </w:pPr>
            <w:r>
              <w:t>59,68%</w:t>
            </w:r>
          </w:p>
        </w:tc>
      </w:tr>
    </w:tbl>
    <w:p w14:paraId="6379C9B0" w14:textId="77777777" w:rsidR="00BF4395" w:rsidRDefault="00BF43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0kuuwqwp5oy" w:colFirst="0" w:colLast="0"/>
      <w:bookmarkEnd w:id="2"/>
    </w:p>
    <w:p w14:paraId="523B4E83" w14:textId="77777777" w:rsidR="00BF4395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wm31vtgkawy" w:colFirst="0" w:colLast="0"/>
      <w:bookmarkEnd w:id="3"/>
      <w:r>
        <w:rPr>
          <w:b/>
          <w:color w:val="000000"/>
          <w:sz w:val="26"/>
          <w:szCs w:val="26"/>
        </w:rPr>
        <w:t>Destaques Econômicos Relevantes</w:t>
      </w:r>
    </w:p>
    <w:p w14:paraId="483FCECE" w14:textId="77777777" w:rsidR="00BF4395" w:rsidRDefault="00000000">
      <w:pPr>
        <w:spacing w:before="240" w:after="240"/>
      </w:pPr>
      <w:r>
        <w:rPr>
          <w:b/>
        </w:rPr>
        <w:t xml:space="preserve">Política de recuperação via </w:t>
      </w:r>
      <w:proofErr w:type="gramStart"/>
      <w:r>
        <w:rPr>
          <w:b/>
        </w:rPr>
        <w:t>salário mínimo</w:t>
      </w:r>
      <w:proofErr w:type="gramEnd"/>
      <w:r>
        <w:t xml:space="preserve">: Após períodos de crise econômica, como em 2008 e 2015, observou-se aumento consistente no </w:t>
      </w:r>
      <w:proofErr w:type="gramStart"/>
      <w:r>
        <w:t>salário mínimo</w:t>
      </w:r>
      <w:proofErr w:type="gramEnd"/>
      <w:r>
        <w:t>. Isso evidencia o uso de políticas públicas voltadas à recomposição da renda e estímulo ao consumo interno.</w:t>
      </w:r>
      <w:r>
        <w:br/>
      </w:r>
    </w:p>
    <w:p w14:paraId="52ED9F29" w14:textId="77777777" w:rsidR="00BF4395" w:rsidRDefault="00000000">
      <w:pPr>
        <w:spacing w:before="240" w:after="240"/>
      </w:pPr>
      <w:r>
        <w:rPr>
          <w:b/>
        </w:rPr>
        <w:t>Crise de 2008 e endividamento</w:t>
      </w:r>
      <w:r>
        <w:t>: A crise financeira global de 2008 coincidiu com o maior salto percentual no endividamento das famílias (de 24% para 40%), refletindo o uso intensificado do crédito como mecanismo de sustentação do consumo em cenário recessivo.</w:t>
      </w:r>
      <w:r>
        <w:br/>
      </w:r>
    </w:p>
    <w:p w14:paraId="00FFB812" w14:textId="77777777" w:rsidR="00BF4395" w:rsidRDefault="00000000">
      <w:pPr>
        <w:spacing w:before="240" w:after="240"/>
      </w:pPr>
      <w:r>
        <w:rPr>
          <w:b/>
        </w:rPr>
        <w:t>Inflação no pós-pandemia</w:t>
      </w:r>
      <w:r>
        <w:t xml:space="preserve">: Em 2021, o IPCA apresentou alta expressiva, impulsionado pelos efeitos da pandemia, incluindo desorganização das cadeias produtivas, aumento nos custos de insumos e pressão cambial. A inflação elevada no </w:t>
      </w:r>
      <w:proofErr w:type="spellStart"/>
      <w:r>
        <w:t>pós-COVID</w:t>
      </w:r>
      <w:proofErr w:type="spellEnd"/>
      <w:r>
        <w:t xml:space="preserve"> foi um dos principais desafios macroeconômicos recentes.</w:t>
      </w:r>
      <w:r>
        <w:br/>
      </w:r>
    </w:p>
    <w:p w14:paraId="6D454BA6" w14:textId="77777777" w:rsidR="00BF4395" w:rsidRDefault="00BF4395">
      <w:pPr>
        <w:spacing w:before="240" w:after="240"/>
        <w:ind w:left="720"/>
      </w:pPr>
    </w:p>
    <w:p w14:paraId="16741997" w14:textId="77777777" w:rsidR="00BF4395" w:rsidRDefault="00000000">
      <w:pPr>
        <w:spacing w:before="240" w:after="240"/>
      </w:pPr>
      <w:r>
        <w:pict w14:anchorId="6E39F70A">
          <v:rect id="_x0000_i1026" style="width:0;height:1.5pt" o:hralign="center" o:hrstd="t" o:hr="t" fillcolor="#a0a0a0" stroked="f"/>
        </w:pict>
      </w:r>
    </w:p>
    <w:p w14:paraId="7F0685A7" w14:textId="77777777" w:rsidR="00BF4395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ksnd9lnxd54" w:colFirst="0" w:colLast="0"/>
      <w:bookmarkEnd w:id="4"/>
      <w:r>
        <w:rPr>
          <w:b/>
          <w:color w:val="000000"/>
          <w:sz w:val="26"/>
          <w:szCs w:val="26"/>
        </w:rPr>
        <w:t>Previsão Futura (2025–2027)</w:t>
      </w:r>
    </w:p>
    <w:tbl>
      <w:tblPr>
        <w:tblStyle w:val="a0"/>
        <w:tblW w:w="34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735"/>
      </w:tblGrid>
      <w:tr w:rsidR="00BF4395" w14:paraId="7F551EE7" w14:textId="77777777">
        <w:trPr>
          <w:trHeight w:val="53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42AB" w14:textId="77777777" w:rsidR="00BF4395" w:rsidRDefault="00000000">
            <w:pPr>
              <w:spacing w:before="240" w:after="240"/>
              <w:jc w:val="center"/>
            </w:pPr>
            <w:r>
              <w:rPr>
                <w:b/>
              </w:rPr>
              <w:t>Ano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5C48" w14:textId="77777777" w:rsidR="00BF4395" w:rsidRDefault="00000000">
            <w:pPr>
              <w:spacing w:before="240" w:after="240"/>
              <w:jc w:val="center"/>
            </w:pPr>
            <w:proofErr w:type="gramStart"/>
            <w:r>
              <w:rPr>
                <w:b/>
              </w:rPr>
              <w:t>Salário Mínimo</w:t>
            </w:r>
            <w:proofErr w:type="gramEnd"/>
            <w:r>
              <w:rPr>
                <w:b/>
              </w:rPr>
              <w:t xml:space="preserve"> Previsto</w:t>
            </w:r>
          </w:p>
        </w:tc>
      </w:tr>
      <w:tr w:rsidR="00BF4395" w14:paraId="7AD7FBE0" w14:textId="77777777">
        <w:trPr>
          <w:trHeight w:val="53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8192" w14:textId="77777777" w:rsidR="00BF4395" w:rsidRDefault="00000000">
            <w:pPr>
              <w:spacing w:before="240" w:after="240"/>
            </w:pPr>
            <w:r>
              <w:t>2025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F68" w14:textId="77777777" w:rsidR="00BF4395" w:rsidRDefault="00000000">
            <w:pPr>
              <w:spacing w:before="240" w:after="240"/>
            </w:pPr>
            <w:r>
              <w:t>R$ 1.400,48</w:t>
            </w:r>
          </w:p>
        </w:tc>
      </w:tr>
      <w:tr w:rsidR="00BF4395" w14:paraId="72AA4E74" w14:textId="77777777">
        <w:trPr>
          <w:trHeight w:val="53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AB13" w14:textId="77777777" w:rsidR="00BF4395" w:rsidRDefault="00000000">
            <w:pPr>
              <w:spacing w:before="240" w:after="240"/>
            </w:pPr>
            <w:r>
              <w:t>2026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48F" w14:textId="77777777" w:rsidR="00BF4395" w:rsidRDefault="00000000">
            <w:pPr>
              <w:spacing w:before="240" w:after="240"/>
            </w:pPr>
            <w:r>
              <w:t>R$ 1.459,09</w:t>
            </w:r>
          </w:p>
        </w:tc>
      </w:tr>
      <w:tr w:rsidR="00BF4395" w14:paraId="785ECBBD" w14:textId="77777777">
        <w:trPr>
          <w:trHeight w:val="53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B44D" w14:textId="77777777" w:rsidR="00BF4395" w:rsidRDefault="00000000">
            <w:pPr>
              <w:spacing w:before="240" w:after="240"/>
            </w:pPr>
            <w:r>
              <w:t>2027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A0B2" w14:textId="77777777" w:rsidR="00BF4395" w:rsidRDefault="00000000">
            <w:pPr>
              <w:spacing w:before="240" w:after="240"/>
            </w:pPr>
            <w:r>
              <w:t>R$ 1.517,70</w:t>
            </w:r>
          </w:p>
        </w:tc>
      </w:tr>
    </w:tbl>
    <w:p w14:paraId="67BB1442" w14:textId="77777777" w:rsidR="00BF4395" w:rsidRDefault="00BF4395">
      <w:pPr>
        <w:spacing w:before="240" w:after="240"/>
        <w:rPr>
          <w:b/>
        </w:rPr>
      </w:pPr>
    </w:p>
    <w:p w14:paraId="0F0518E6" w14:textId="77777777" w:rsidR="00BF4395" w:rsidRDefault="00BF4395">
      <w:pPr>
        <w:spacing w:before="240" w:after="240"/>
        <w:rPr>
          <w:b/>
        </w:rPr>
      </w:pPr>
    </w:p>
    <w:p w14:paraId="5198D8C4" w14:textId="77777777" w:rsidR="00BF4395" w:rsidRDefault="00BF4395">
      <w:pPr>
        <w:spacing w:before="240" w:after="240"/>
        <w:rPr>
          <w:b/>
        </w:rPr>
      </w:pPr>
    </w:p>
    <w:p w14:paraId="6FC0AD4B" w14:textId="77777777" w:rsidR="00BF4395" w:rsidRDefault="00BF4395">
      <w:pPr>
        <w:spacing w:before="240" w:after="240"/>
        <w:rPr>
          <w:b/>
        </w:rPr>
      </w:pPr>
    </w:p>
    <w:p w14:paraId="4DC50B22" w14:textId="77777777" w:rsidR="00BF4395" w:rsidRDefault="00000000">
      <w:pPr>
        <w:spacing w:before="240" w:after="240"/>
      </w:pPr>
      <w:r>
        <w:rPr>
          <w:b/>
        </w:rPr>
        <w:lastRenderedPageBreak/>
        <w:t>Modelo Utilizado</w:t>
      </w:r>
      <w:r>
        <w:t xml:space="preserve">: </w:t>
      </w:r>
    </w:p>
    <w:p w14:paraId="1B48FEFB" w14:textId="77777777" w:rsidR="00BF4395" w:rsidRDefault="00000000">
      <w:pPr>
        <w:spacing w:before="240" w:after="240"/>
      </w:pPr>
      <w:r>
        <w:t xml:space="preserve">Regressão Linear Simples, considerando apenas o </w:t>
      </w:r>
      <w:r>
        <w:rPr>
          <w:b/>
        </w:rPr>
        <w:t>ano</w:t>
      </w:r>
      <w:r>
        <w:t xml:space="preserve"> como variável explicativa (modelo de tendência temporal).</w:t>
      </w:r>
    </w:p>
    <w:p w14:paraId="5A6A9EAD" w14:textId="77777777" w:rsidR="00BF4395" w:rsidRDefault="00000000">
      <w:pPr>
        <w:spacing w:before="240" w:after="240"/>
      </w:pPr>
      <w:r>
        <w:rPr>
          <w:b/>
        </w:rPr>
        <w:t>Explicação para o professor</w:t>
      </w:r>
      <w:r>
        <w:t>:</w:t>
      </w:r>
    </w:p>
    <w:p w14:paraId="4756353A" w14:textId="77777777" w:rsidR="00BF4395" w:rsidRDefault="00000000">
      <w:pPr>
        <w:spacing w:before="240" w:after="240"/>
      </w:pPr>
      <w:r>
        <w:t xml:space="preserve">A previsão foi gerada a partir da tendência histórica do </w:t>
      </w:r>
      <w:proofErr w:type="gramStart"/>
      <w:r>
        <w:t>salário mínimo</w:t>
      </w:r>
      <w:proofErr w:type="gramEnd"/>
      <w:r>
        <w:t xml:space="preserve"> entre os anos de 2005 e 2024, desconsiderando variáveis como inflação ou endividamento. Essa abordagem considera que o </w:t>
      </w:r>
      <w:proofErr w:type="gramStart"/>
      <w:r>
        <w:t>salário mínimo</w:t>
      </w:r>
      <w:proofErr w:type="gramEnd"/>
      <w:r>
        <w:t xml:space="preserve"> cresce ao longo do tempo de forma consistente, refletindo políticas públicas regulares de reajuste.</w:t>
      </w:r>
    </w:p>
    <w:p w14:paraId="5144DEDE" w14:textId="77777777" w:rsidR="00BF4395" w:rsidRDefault="00000000">
      <w:pPr>
        <w:spacing w:before="240" w:after="240"/>
      </w:pPr>
      <w:r>
        <w:t xml:space="preserve">Como se baseia unicamente no fator tempo, o modelo assume que o padrão histórico de crescimento linear continuará, o que é útil para observar tendências, embora não incorpore choques externos, mudanças políticas ou alterações na regra de correção do </w:t>
      </w:r>
      <w:proofErr w:type="gramStart"/>
      <w:r>
        <w:t>salário mínimo</w:t>
      </w:r>
      <w:proofErr w:type="gramEnd"/>
      <w:r>
        <w:t>.</w:t>
      </w:r>
    </w:p>
    <w:p w14:paraId="5A26BA98" w14:textId="77777777" w:rsidR="00BF4395" w:rsidRDefault="00000000">
      <w:pPr>
        <w:spacing w:before="240" w:after="240"/>
      </w:pPr>
      <w:r>
        <w:rPr>
          <w:b/>
        </w:rPr>
        <w:t>Conclusão Técnica</w:t>
      </w:r>
      <w:r>
        <w:t>:</w:t>
      </w:r>
    </w:p>
    <w:p w14:paraId="1AD15228" w14:textId="77777777" w:rsidR="00BF4395" w:rsidRDefault="00000000">
      <w:pPr>
        <w:spacing w:before="240" w:after="240"/>
      </w:pPr>
      <w:r>
        <w:t>Essa previsão oferece uma estimativa plausível para os próximos anos, alinhada à trajetória dos últimos reajustes. Pode ser utilizada como uma base inicial de projeção, porém, para uma análise mais precisa, recomenda-se o uso de modelos que integrem variáveis econômicas futuras, como inflação projetada, produtividade e política fiscal vigente.</w:t>
      </w:r>
    </w:p>
    <w:p w14:paraId="6B498273" w14:textId="77777777" w:rsidR="00BF4395" w:rsidRDefault="00BF4395">
      <w:pPr>
        <w:spacing w:before="240" w:after="240"/>
      </w:pPr>
    </w:p>
    <w:sectPr w:rsidR="00BF4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95"/>
    <w:rsid w:val="002542D7"/>
    <w:rsid w:val="007638E3"/>
    <w:rsid w:val="00B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FE93"/>
  <w15:docId w15:val="{0B6A3A68-9C66-4A83-AC41-6FD901C4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Aleff Souza 23025514</cp:lastModifiedBy>
  <cp:revision>3</cp:revision>
  <cp:lastPrinted>2025-05-18T23:27:00Z</cp:lastPrinted>
  <dcterms:created xsi:type="dcterms:W3CDTF">2025-05-18T23:27:00Z</dcterms:created>
  <dcterms:modified xsi:type="dcterms:W3CDTF">2025-05-18T23:27:00Z</dcterms:modified>
</cp:coreProperties>
</file>