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DOCUMENTO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Cesta View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Sistema de dashboard interativo que analisa e compara dados econômicos ao longo do tempo com foco em dados referentes ao setor alimentício. O sistema coleta dados do Banco Central para demonstrar o impacto que os índices de preço possuem em relação ao custo da cesta básica em São Paulo.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/>
      <w:tblGrid>
        <w:gridCol w:w="6675"/>
        <w:gridCol w:w="2700"/>
      </w:tblGrid>
      <w:tr>
        <w:trPr>
          <w:trHeight w:val="480" w:hRule="auto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480" w:hRule="auto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Felipe Carvalho Paleari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25027800 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Marcelo Henrique de Souza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23025665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/>
      <w:tblGrid>
        <w:gridCol w:w="9499"/>
      </w:tblGrid>
      <w:tr>
        <w:trPr>
          <w:trHeight w:val="1" w:hRule="atLeast"/>
          <w:jc w:val="left"/>
        </w:trPr>
        <w:tc>
          <w:tcPr>
            <w:tcW w:w="9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Eduardo Savino Gomes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/>
      <w:tblGrid>
        <w:gridCol w:w="9515"/>
      </w:tblGrid>
      <w:tr>
        <w:trPr>
          <w:trHeight w:val="1" w:hRule="atLeast"/>
          <w:jc w:val="left"/>
        </w:trPr>
        <w:tc>
          <w:tcPr>
            <w:tcW w:w="9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Ciência da Computação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525252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Ciência de Dados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ODS 2 - Fome Zero e Agricultura Sustentável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Meta 2.c: Adotar medidas para garantir o funcionamento adequado dos mercados de commodities de alimentos e seus derivados, e facilitar o acesso oportuno à informação de mercado, inclusive sobre as reservas de alimentos, a fim de ajudar a limitar a volatilidade extrema dos preços dos alimentos. 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O produto decorrente deste projeto é um sistema de dashboard interativo desenvolvido em Python que demonstra dados econômicos do Banco Central ao longo do tempo com fins de analisar a variação de diversos índices de preços e comparar com o preço da cesta básica em São Paulo. O sistema oferece dois gráficos interativos que demonstram a evolução dos Índices Econômicos e a dispersão e correlação dos índices com o custo da cesta básica. O código fonte do projeto está disponível no GitHub, junto com outros documentos para maior entendimento sobre os dados utilizados.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implementação poderá ocorrer por meio de oficinas e palestras para promover a inclusão informacional com o uso da plataforma digital disponível online como ferramenta. Estes eventos de divulgação podem ser implementados em ambientes educacionais e comunitários, que oferecem meios de desenvolver uma educação financeira entre os participantes.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Pessoas com diferentes níveis de escolaridade e renda que possuam interesse de acessar informações claras sobre indicadores econômicos que influenciam o poder de compra do consumidor e a segurança alimentar. Gestores públicos para o embasamento de políticas públicas, economistas e cientistas sociais que queiram usar esses dados para realizar análises mais aprofundadas sobre o assunto.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realidade atual está em um cenário de constante instabilidade nos preços dos alimentos, especialmente nos itens que compõem a cesta básica, afetando diretamente o orçamento das famílias brasileiras, principalmente daquelas em situação mais vulnerável socioeconomicamente. A ausência de uma ferramenta prática e visual que apresenta a variação desses preços acaba dificultando o acesso a essas informações para pessoas interessadas nesta área, limitando a compreensão e o acompanhamento dessas mudanças.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desenvolvimento de uma ferramenta digital acessível com dados atualizados sobre indicadores econômicos pode facilitar o entendimento da população sobre a variação dos preços dos alimentos. A correlação entre diferentes índices e o custo da cesta básica pode revelar padrões úteis para realização de análises preditivas para o planejamento de políticas públicas.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Cesta View propõe a criação de um sistema de dashboards digital interativo que apresenta, por meio de gráficos, dados atualizados sobre a variação de indicadores econômicos que afetam diretamente o custo das cestas básicas. Utilizando a API do Banco Central, a iniciativa busca enfrentar a dificuldade de acesso a informações claras sobre os preços dos alimentos, problema que afeta diretamente famílias em situação de vulnerabilidade socioeconômica. O público-alvo inclui estudantes, gestores públicos, economistas, cientistas sociais e pessoas que queiram aumentar seu entendimento sobre os impactos dos índices de preços. Espera-se ampliar o conhecimento da população sobre a variação de preços e seu impacto no orçamento familiar, acompanhando a meta 2.c da ODS 2 da ONU.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instabilidade dos preços dos alimentos impacta diretamente o poder de compra e a segurança alimentar das populações em situação de vulnerabilidade. O acompanhamento de índices de preço é essencial para entender seus efeitos sobre o aumento dos custos, mas o acesso a essas informações nem sempre é facilitado de forma clara e visual. O projeto Cesta View propõe o desenvolvimento de uma ferramenta digital interativa que possibilite o monitoramento acessível e visual desses dados. Essa ação se relaciona diretamente com a ODS 2 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– Fome Zero e Agricultura Sustent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ável da ONU e na intersecção entre tecnologia, educação e economia, promovendo o acesso à informação de mercado acessível e viável sobre a volatilidade dos preços dos alimentos.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- Desenvolver uma plataforma online para visualização de indicadores econômicos relacionados a cesta básica. 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- Disponibilizar uma análise de indicadores como IPCA, IPA-M e IPCA - Alimentos e Bebidas. 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- Aplicar modelos de comparação entre os índices com o aumento do custo da cesta básica. 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- Estimular a educação financeira por meio de oficinas e palestras em ambientes educacionais e comunitários. 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- Ampliar o acesso à informação para públicos em situação de vulnerabilidade socioeconômica.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foi realizado com o desenvolvimento de uma plataforma digital interativa que permite a visualização e análise de dados, coletados pela API do Banco Central, relacionados à variação dos preços dos alimentos da cesta básica e de índices de preço. A implementação ocorrerá com a realização de oficinas com o objetivo de apresentar a plataforma ao público-alvo, promover a inclusão informacional e a educação financeira. A metodologia é baseada no diálogo e na participação ativa da comunidade, garantindo que a solução proposta seja viável e acessível.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945" w:hRule="auto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Espera-se que o projeto Cesta View contribua para o aumento do acesso à informação e a compreensão sobre a variação de preços da cesta básica. É esperado a promoção da inclusão informacional e o fortalecimento da educação financeira, além de melhorar a tomada de decisões relacionadas ao consumo.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Cesta View realizou os objetivos propostos com uma solução prática e acessível para o acompanhamento da variação de preços da cesta básica e sua relação aos índices de preço. Com a criação da plataforma digital, será possível aproximar o público-alvo de informações relevantes, promovendo a inclusão informacional e fortalecendo a educação financeira, contribuindo para uma sociedade mais informada e consciente.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ONU.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Objetivos de Desenvolvimento Sustentável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Disponível em: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525252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https://brasil.un.org/pt-br/sdgs</w:t>
              </w:r>
            </w:hyperlink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Acesso em 18 maio 2025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SILVA, João; LIMA, Ana.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Tecnologia e inclusão informacional: desafios e oportunidades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Revista Brasileira de Educação, v. 26, n. 78, 2021.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CAVALCANTI, Mariana R.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Educação Financeira no Brasil: uma proposta para o ensino médio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Revista de Educação Pública, Cuiabá, v. 25, n. 58, p. 467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–482, 2016.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FIGUEIREDO, Tatiane; PEREIRA, Robson.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Educa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ção financeira para jovens em situação de vulnerabilidade social: contribuições para o consumo consciente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Revista de Educação, Ciências Sociais e Humanidades, v. 3, n. 2, p. 20-35, 2020.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KLIEMANN NETO, Francisco J. </w:t>
            </w: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auto" w:val="clear"/>
              </w:rPr>
              <w:t xml:space="preserve">Indicadores econômicos: uma abordagem prática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São Paulo: Atlas, 2012.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FFFFFF" w:val="clear"/>
              </w:rPr>
              <w:t xml:space="preserve">Código-fonte e documentação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Projeto disponibilizado no GitHub com sua documentação sobre as análises e seu desenvolvimento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Link: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525252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https://github.com/2025-1-NCC4/Projeto4</w:t>
              </w:r>
            </w:hyperlink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FFFFFF" w:val="clear"/>
              </w:rPr>
              <w:t xml:space="preserve">Dashboard interativo 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Permite visualização dos indicadores econômicos ao longo do tempo e um gráfico sobre a correlação dos Índices de preço com o custo da cesta básica.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Link de acesso: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525252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https://dashboard-pi.onrender.com</w:t>
              </w:r>
            </w:hyperlink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25252"/>
                <w:spacing w:val="0"/>
                <w:position w:val="0"/>
                <w:sz w:val="20"/>
                <w:shd w:fill="FFFFFF" w:val="clear"/>
              </w:rPr>
              <w:t xml:space="preserve">Apresentação em Banner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Banner feito com o intuito de apresentar fisicamente o projeto, com seu objetivo e uma análise para o futuro.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857"/>
        <w:gridCol w:w="3578"/>
      </w:tblGrid>
      <w:tr>
        <w:trPr>
          <w:trHeight w:val="1" w:hRule="atLeast"/>
          <w:jc w:val="left"/>
        </w:trPr>
        <w:tc>
          <w:tcPr>
            <w:tcW w:w="5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Fontes: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BANCO CENTRAL DO BRASIL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PLOTLY TECHNOLOGIES INC. Plotly Python Open Source Graphing Library...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RENDER </w:t>
            </w:r>
          </w:p>
        </w:tc>
        <w:tc>
          <w:tcPr>
            <w:tcW w:w="3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Links: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https://www.bcb.gov.br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https://plotly.com/python/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https://render.com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85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Versão 2.0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10/2024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2025-1-NCC4/Projeto4" Id="docRId1" Type="http://schemas.openxmlformats.org/officeDocument/2006/relationships/hyperlink" /><Relationship TargetMode="External" Target="https://www.bcb.gov.br/" Id="docRId3" Type="http://schemas.openxmlformats.org/officeDocument/2006/relationships/hyperlink" /><Relationship TargetMode="External" Target="https://render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brasil.un.org/pt-br/sdgs" Id="docRId0" Type="http://schemas.openxmlformats.org/officeDocument/2006/relationships/hyperlink" /><Relationship TargetMode="External" Target="https://dashboard-pi.onrender.com/" Id="docRId2" Type="http://schemas.openxmlformats.org/officeDocument/2006/relationships/hyperlink" /><Relationship TargetMode="External" Target="https://plotly.com/python/" Id="docRId4" Type="http://schemas.openxmlformats.org/officeDocument/2006/relationships/hyperlink" /><Relationship Target="numbering.xml" Id="docRId6" Type="http://schemas.openxmlformats.org/officeDocument/2006/relationships/numbering" /></Relationships>
</file>