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C36A" w14:textId="77777777" w:rsidR="0090516A" w:rsidRPr="0090516A" w:rsidRDefault="0090516A" w:rsidP="0090516A">
      <w:pPr>
        <w:pStyle w:val="NormalWeb"/>
        <w:jc w:val="both"/>
        <w:rPr>
          <w:rFonts w:ascii="Arial" w:hAnsi="Arial" w:cs="Arial"/>
        </w:rPr>
      </w:pPr>
      <w:r w:rsidRPr="0090516A">
        <w:rPr>
          <w:rFonts w:ascii="Arial" w:hAnsi="Arial" w:cs="Arial"/>
        </w:rPr>
        <w:t>A análise das operações do Banco Neon, com base em dados financeiros e regulatórios disponíveis, oferece uma visão detalhada da sua estrutura e das tendências que podem influenciar seu desempenho futuro. Utilizando metodologias como a análise vertical e horizontal, é possível examinar a evolução histórica do banco, suas perspectivas de crescimento e o uso de modelos estatísticos avançados para prever cenários futuros.</w:t>
      </w:r>
    </w:p>
    <w:p w14:paraId="02F6ABC7" w14:textId="77777777" w:rsidR="0090516A" w:rsidRPr="0090516A" w:rsidRDefault="0090516A" w:rsidP="0090516A">
      <w:pPr>
        <w:pStyle w:val="NormalWeb"/>
        <w:jc w:val="both"/>
        <w:rPr>
          <w:rFonts w:ascii="Arial" w:hAnsi="Arial" w:cs="Arial"/>
        </w:rPr>
      </w:pPr>
      <w:r w:rsidRPr="0090516A">
        <w:rPr>
          <w:rFonts w:ascii="Arial" w:hAnsi="Arial" w:cs="Arial"/>
        </w:rPr>
        <w:t>A análise vertical permite entender a composição dos dados, comparando cada item com o total. No caso do Banco Neon, observa-se que uma parte significativa de sua receita vem de serviços como a confecção e renovação de cadastros, consultas a serviços de proteção ao crédito, além das tarifas relacionadas a transações bancárias, como saques e transferências. Esses serviços formam a principal base de receita do banco, o que indica uma dependência de certos tipos de serviços. A análise vertical também destaca a necessidade de uma boa conformidade regulatória, uma vez que falhas nesse aspecto podem afetar negativamente as operações e a imagem do banco no mercado.</w:t>
      </w:r>
    </w:p>
    <w:p w14:paraId="4C28A4D8" w14:textId="77777777" w:rsidR="0090516A" w:rsidRPr="0090516A" w:rsidRDefault="0090516A" w:rsidP="0090516A">
      <w:pPr>
        <w:pStyle w:val="NormalWeb"/>
        <w:jc w:val="both"/>
        <w:rPr>
          <w:rFonts w:ascii="Arial" w:hAnsi="Arial" w:cs="Arial"/>
        </w:rPr>
      </w:pPr>
      <w:r w:rsidRPr="0090516A">
        <w:rPr>
          <w:rFonts w:ascii="Arial" w:hAnsi="Arial" w:cs="Arial"/>
        </w:rPr>
        <w:t>A análise horizontal, por sua vez, examina a evolução dos dados ao longo do tempo, o que permite identificar padrões e tendências. Para o Banco Neon, eventos históricos importantes, como a liquidação extrajudicial em 2018, tiveram um grande impacto na confiança dos investidores e clientes, afetando sua estabilidade. Além disso, o banco enfrentou multas por falhas em sua política de prevenção à lavagem de dinheiro, conforme documentado no processo administrativo PE 149605. Esses eventos indicam que o banco precisa reforçar continuamente suas práticas de governança e conformidade regulatória para garantir sua estabilidade a longo prazo. A análise horizontal sugere que, com uma gestão adequada, o banco pode superar essas dificuldades e retomar seu crescimento de maneira sustentável.</w:t>
      </w:r>
    </w:p>
    <w:p w14:paraId="4E48CB1C" w14:textId="77777777" w:rsidR="0090516A" w:rsidRPr="0090516A" w:rsidRDefault="0090516A" w:rsidP="0090516A">
      <w:pPr>
        <w:pStyle w:val="NormalWeb"/>
        <w:jc w:val="both"/>
        <w:rPr>
          <w:rFonts w:ascii="Arial" w:hAnsi="Arial" w:cs="Arial"/>
        </w:rPr>
      </w:pPr>
      <w:r w:rsidRPr="0090516A">
        <w:rPr>
          <w:rFonts w:ascii="Arial" w:hAnsi="Arial" w:cs="Arial"/>
        </w:rPr>
        <w:t>Para prever tendências futuras, é possível aplicar modelos estatísticos avançados, como o ARIMA (</w:t>
      </w:r>
      <w:proofErr w:type="spellStart"/>
      <w:r w:rsidRPr="0090516A">
        <w:rPr>
          <w:rFonts w:ascii="Arial" w:hAnsi="Arial" w:cs="Arial"/>
        </w:rPr>
        <w:t>AutoRegressive</w:t>
      </w:r>
      <w:proofErr w:type="spellEnd"/>
      <w:r w:rsidRPr="0090516A">
        <w:rPr>
          <w:rFonts w:ascii="Arial" w:hAnsi="Arial" w:cs="Arial"/>
        </w:rPr>
        <w:t xml:space="preserve"> </w:t>
      </w:r>
      <w:proofErr w:type="spellStart"/>
      <w:r w:rsidRPr="0090516A">
        <w:rPr>
          <w:rFonts w:ascii="Arial" w:hAnsi="Arial" w:cs="Arial"/>
        </w:rPr>
        <w:t>Integrated</w:t>
      </w:r>
      <w:proofErr w:type="spellEnd"/>
      <w:r w:rsidRPr="0090516A">
        <w:rPr>
          <w:rFonts w:ascii="Arial" w:hAnsi="Arial" w:cs="Arial"/>
        </w:rPr>
        <w:t xml:space="preserve"> </w:t>
      </w:r>
      <w:proofErr w:type="spellStart"/>
      <w:r w:rsidRPr="0090516A">
        <w:rPr>
          <w:rFonts w:ascii="Arial" w:hAnsi="Arial" w:cs="Arial"/>
        </w:rPr>
        <w:t>Moving</w:t>
      </w:r>
      <w:proofErr w:type="spellEnd"/>
      <w:r w:rsidRPr="0090516A">
        <w:rPr>
          <w:rFonts w:ascii="Arial" w:hAnsi="Arial" w:cs="Arial"/>
        </w:rPr>
        <w:t xml:space="preserve"> </w:t>
      </w:r>
      <w:proofErr w:type="spellStart"/>
      <w:r w:rsidRPr="0090516A">
        <w:rPr>
          <w:rFonts w:ascii="Arial" w:hAnsi="Arial" w:cs="Arial"/>
        </w:rPr>
        <w:t>Average</w:t>
      </w:r>
      <w:proofErr w:type="spellEnd"/>
      <w:r w:rsidRPr="0090516A">
        <w:rPr>
          <w:rFonts w:ascii="Arial" w:hAnsi="Arial" w:cs="Arial"/>
        </w:rPr>
        <w:t>), que analisa séries temporais e pode ajudar a prever variáveis como o volume de transações e as taxas de juros. Modelos de regressão também podem ser utilizados para entender como fatores macroeconômicos, como a taxa Selic e a inflação (IPCA), influenciam o desempenho do banco, como o volume de crédito e a rentabilidade. A análise de séries temporais é útil para identificar padrões sazonais e cíclicos, permitindo que o banco ajuste suas estratégias financeiras de acordo com as flutuações do mercado.</w:t>
      </w:r>
    </w:p>
    <w:p w14:paraId="59A4DD71" w14:textId="77777777" w:rsidR="0090516A" w:rsidRPr="0090516A" w:rsidRDefault="0090516A" w:rsidP="0090516A">
      <w:pPr>
        <w:pStyle w:val="NormalWeb"/>
        <w:jc w:val="both"/>
        <w:rPr>
          <w:rFonts w:ascii="Arial" w:hAnsi="Arial" w:cs="Arial"/>
        </w:rPr>
      </w:pPr>
      <w:r w:rsidRPr="0090516A">
        <w:rPr>
          <w:rFonts w:ascii="Arial" w:hAnsi="Arial" w:cs="Arial"/>
        </w:rPr>
        <w:t>Ao considerar as análises vertical e horizontal, é possível concluir que o Banco Neon possui uma estrutura de receita que depende fortemente de certos serviços e enfrenta desafios regulatórios que impactaram sua estabilidade no passado. Contudo, a utilização de modelos estatísticos avançados pode ajudar a projetar tendências futuras, permitindo que o banco se adapte às mudanças e tome decisões estratégicas bem fundamentadas. A análise histórica e a projeção de cenários indicam que, ao fortalecer suas práticas de governança e conformidade regulatória, o banco poderá melhorar sua posição no mercado e alcançar um crescimento mais robusto a longo prazo. Assim, o Banco Neon deve continuar a se ajustar às regulamentações e adotar estratégias baseadas em dados para garantir sua sustentabilidade e sucesso no futuro.</w:t>
      </w:r>
    </w:p>
    <w:p w14:paraId="352D2EE1" w14:textId="708D61CF" w:rsidR="00B85930" w:rsidRPr="0090516A" w:rsidRDefault="0090516A">
      <w:pPr>
        <w:rPr>
          <w:rFonts w:ascii="Arial" w:hAnsi="Arial" w:cs="Arial"/>
          <w:sz w:val="20"/>
          <w:szCs w:val="20"/>
        </w:rPr>
      </w:pPr>
      <w:r>
        <w:lastRenderedPageBreak/>
        <w:br/>
      </w:r>
      <w:r>
        <w:br/>
      </w:r>
      <w:r w:rsidRPr="0090516A">
        <w:rPr>
          <w:rFonts w:ascii="Arial" w:hAnsi="Arial" w:cs="Arial"/>
          <w:sz w:val="24"/>
          <w:szCs w:val="24"/>
        </w:rPr>
        <w:t>Fontes: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hyperlink r:id="rId4" w:history="1">
        <w:r w:rsidRPr="0090516A">
          <w:rPr>
            <w:rStyle w:val="Hyperlink"/>
            <w:rFonts w:ascii="Arial" w:hAnsi="Arial" w:cs="Arial"/>
            <w:sz w:val="20"/>
            <w:szCs w:val="20"/>
          </w:rPr>
          <w:t>https://www.bcb.gov.br/fis/tarifas/htms/11285104a.asp?frame=1&amp;utm_source=chatgpt.com</w:t>
        </w:r>
      </w:hyperlink>
    </w:p>
    <w:p w14:paraId="6AAD6E09" w14:textId="7499D7B4" w:rsidR="0090516A" w:rsidRPr="0090516A" w:rsidRDefault="0090516A">
      <w:pPr>
        <w:rPr>
          <w:rFonts w:ascii="Arial" w:hAnsi="Arial" w:cs="Arial"/>
          <w:sz w:val="20"/>
          <w:szCs w:val="20"/>
        </w:rPr>
      </w:pPr>
      <w:hyperlink r:id="rId5" w:history="1">
        <w:r w:rsidRPr="0090516A">
          <w:rPr>
            <w:rStyle w:val="Hyperlink"/>
            <w:rFonts w:ascii="Arial" w:hAnsi="Arial" w:cs="Arial"/>
            <w:sz w:val="20"/>
            <w:szCs w:val="20"/>
          </w:rPr>
          <w:t>https://www.bcb.gov.br/conteudo/decap/DecisoesColegiadas/PE%20149605%20-%20Banco%20Neon.pdf?utm_source=chatgpt.com</w:t>
        </w:r>
      </w:hyperlink>
    </w:p>
    <w:p w14:paraId="2DC848C2" w14:textId="57ECB484" w:rsidR="0090516A" w:rsidRPr="0090516A" w:rsidRDefault="0090516A">
      <w:pPr>
        <w:rPr>
          <w:rFonts w:ascii="Arial" w:hAnsi="Arial" w:cs="Arial"/>
          <w:sz w:val="20"/>
          <w:szCs w:val="20"/>
        </w:rPr>
      </w:pPr>
      <w:hyperlink r:id="rId6" w:history="1">
        <w:r w:rsidRPr="0090516A">
          <w:rPr>
            <w:rStyle w:val="Hyperlink"/>
            <w:rFonts w:ascii="Arial" w:hAnsi="Arial" w:cs="Arial"/>
            <w:sz w:val="20"/>
            <w:szCs w:val="20"/>
          </w:rPr>
          <w:t>https://www.bcb.gov.br/estabilidadefinanceira/exibenormativo?numero=1336&amp;tipo=Ato%20do%20Presidente&amp;utm_source=chatgpt.com</w:t>
        </w:r>
      </w:hyperlink>
    </w:p>
    <w:p w14:paraId="35380E8B" w14:textId="26D07CB1" w:rsidR="0090516A" w:rsidRPr="0090516A" w:rsidRDefault="0090516A">
      <w:pPr>
        <w:rPr>
          <w:rFonts w:ascii="Arial" w:hAnsi="Arial" w:cs="Arial"/>
          <w:sz w:val="20"/>
          <w:szCs w:val="20"/>
        </w:rPr>
      </w:pPr>
      <w:hyperlink r:id="rId7" w:history="1">
        <w:r w:rsidRPr="0090516A">
          <w:rPr>
            <w:rStyle w:val="Hyperlink"/>
            <w:rFonts w:ascii="Arial" w:hAnsi="Arial" w:cs="Arial"/>
            <w:sz w:val="20"/>
            <w:szCs w:val="20"/>
          </w:rPr>
          <w:t>https://www.bcb.gov.br/acessoinformacao/legado?url=https:%2F%2Fwww.bcb.gov.br%2Ffis%2Ftarifas%2Fhtms%2F20855875a.asp%3Fseg%3Dbancossegmento11</w:t>
        </w:r>
      </w:hyperlink>
    </w:p>
    <w:p w14:paraId="12677381" w14:textId="4CB367F5" w:rsidR="0090516A" w:rsidRPr="0090516A" w:rsidRDefault="0090516A">
      <w:pPr>
        <w:rPr>
          <w:rFonts w:ascii="Arial" w:hAnsi="Arial" w:cs="Arial"/>
          <w:sz w:val="20"/>
          <w:szCs w:val="20"/>
        </w:rPr>
      </w:pPr>
      <w:hyperlink r:id="rId8" w:history="1">
        <w:r w:rsidRPr="0090516A">
          <w:rPr>
            <w:rStyle w:val="Hyperlink"/>
            <w:rFonts w:ascii="Arial" w:hAnsi="Arial" w:cs="Arial"/>
            <w:sz w:val="20"/>
            <w:szCs w:val="20"/>
          </w:rPr>
          <w:t>https://www.bcb.gov.br/estabilidadefinanceira/exibenormativo?numero=42402&amp;tipo=Comunicado</w:t>
        </w:r>
      </w:hyperlink>
    </w:p>
    <w:p w14:paraId="42D0C1C8" w14:textId="491FDB25" w:rsidR="0090516A" w:rsidRPr="0090516A" w:rsidRDefault="0090516A">
      <w:pPr>
        <w:rPr>
          <w:rFonts w:ascii="Arial" w:hAnsi="Arial" w:cs="Arial"/>
          <w:sz w:val="20"/>
          <w:szCs w:val="20"/>
        </w:rPr>
      </w:pPr>
      <w:hyperlink r:id="rId9" w:history="1">
        <w:r w:rsidRPr="0090516A">
          <w:rPr>
            <w:rStyle w:val="Hyperlink"/>
            <w:rFonts w:ascii="Arial" w:hAnsi="Arial" w:cs="Arial"/>
            <w:sz w:val="20"/>
            <w:szCs w:val="20"/>
          </w:rPr>
          <w:t>https://dadosabertos.bcb.gov.br/dataset/ir-11285104000106</w:t>
        </w:r>
      </w:hyperlink>
    </w:p>
    <w:p w14:paraId="0DDC6B7B" w14:textId="46E3FB7D" w:rsidR="0090516A" w:rsidRPr="0090516A" w:rsidRDefault="0090516A">
      <w:pPr>
        <w:rPr>
          <w:rFonts w:ascii="Arial" w:hAnsi="Arial" w:cs="Arial"/>
          <w:sz w:val="20"/>
          <w:szCs w:val="20"/>
        </w:rPr>
      </w:pPr>
      <w:hyperlink r:id="rId10" w:history="1">
        <w:r w:rsidRPr="0090516A">
          <w:rPr>
            <w:rStyle w:val="Hyperlink"/>
            <w:rFonts w:ascii="Arial" w:hAnsi="Arial" w:cs="Arial"/>
            <w:sz w:val="20"/>
            <w:szCs w:val="20"/>
          </w:rPr>
          <w:t>https://www.bcb.gov.br/estabilidadefinanceira/exibenormativo?numero=37329&amp;tipo=Comunicado</w:t>
        </w:r>
      </w:hyperlink>
    </w:p>
    <w:p w14:paraId="74053F0E" w14:textId="4D73D584" w:rsidR="0090516A" w:rsidRDefault="0090516A">
      <w:pPr>
        <w:rPr>
          <w:rFonts w:ascii="Arial" w:hAnsi="Arial" w:cs="Arial"/>
          <w:sz w:val="20"/>
          <w:szCs w:val="20"/>
        </w:rPr>
      </w:pPr>
      <w:hyperlink r:id="rId11" w:history="1">
        <w:r w:rsidRPr="00636D53">
          <w:rPr>
            <w:rStyle w:val="Hyperlink"/>
            <w:rFonts w:ascii="Arial" w:hAnsi="Arial" w:cs="Arial"/>
            <w:sz w:val="20"/>
            <w:szCs w:val="20"/>
          </w:rPr>
          <w:t>https://www.bcb.gov.br/conteudo/decap/DecisoesColegiadas/PE%20149605%20-%20Banco%20Neon.pdf</w:t>
        </w:r>
      </w:hyperlink>
    </w:p>
    <w:p w14:paraId="5FD8FA9F" w14:textId="626BFD77" w:rsidR="0090516A" w:rsidRDefault="0090516A">
      <w:pPr>
        <w:rPr>
          <w:rFonts w:ascii="Arial" w:hAnsi="Arial" w:cs="Arial"/>
          <w:sz w:val="20"/>
          <w:szCs w:val="20"/>
        </w:rPr>
      </w:pPr>
      <w:hyperlink r:id="rId12" w:history="1">
        <w:r w:rsidRPr="00636D53">
          <w:rPr>
            <w:rStyle w:val="Hyperlink"/>
            <w:rFonts w:ascii="Arial" w:hAnsi="Arial" w:cs="Arial"/>
            <w:sz w:val="20"/>
            <w:szCs w:val="20"/>
          </w:rPr>
          <w:t>https://www.bcb.gov.br/fis/tarifas/htms/11285104.asp?frame=1&amp;seg=bancossegmento11</w:t>
        </w:r>
      </w:hyperlink>
    </w:p>
    <w:p w14:paraId="211EEAE6" w14:textId="518FAD09" w:rsidR="0090516A" w:rsidRDefault="0090516A">
      <w:pPr>
        <w:rPr>
          <w:rFonts w:ascii="Arial" w:hAnsi="Arial" w:cs="Arial"/>
          <w:sz w:val="20"/>
          <w:szCs w:val="20"/>
        </w:rPr>
      </w:pPr>
      <w:hyperlink r:id="rId13" w:history="1">
        <w:r w:rsidRPr="00636D53">
          <w:rPr>
            <w:rStyle w:val="Hyperlink"/>
            <w:rFonts w:ascii="Arial" w:hAnsi="Arial" w:cs="Arial"/>
            <w:sz w:val="20"/>
            <w:szCs w:val="20"/>
          </w:rPr>
          <w:t>https://www.bcb.gov.br/acessoinformacao/legado?url=https:%2F%2Fwww.bcb.gov.br%2Ffis%2Ftarifas%2Fhtms%2F61723847a.asp%3Fseg%3Dbancossegmento09</w:t>
        </w:r>
      </w:hyperlink>
    </w:p>
    <w:p w14:paraId="6932C7FB" w14:textId="4B1C8A7E" w:rsidR="0090516A" w:rsidRDefault="0090516A">
      <w:pPr>
        <w:rPr>
          <w:rFonts w:ascii="Arial" w:hAnsi="Arial" w:cs="Arial"/>
          <w:sz w:val="20"/>
          <w:szCs w:val="20"/>
        </w:rPr>
      </w:pPr>
      <w:hyperlink r:id="rId14" w:history="1">
        <w:r w:rsidRPr="00636D53">
          <w:rPr>
            <w:rStyle w:val="Hyperlink"/>
            <w:rFonts w:ascii="Arial" w:hAnsi="Arial" w:cs="Arial"/>
            <w:sz w:val="20"/>
            <w:szCs w:val="20"/>
          </w:rPr>
          <w:t>https://www.bcb.gov.br/acessoinformacao/legado?url=https:%2F%2Fwww.bcb.gov.br%2Frex%2Fiamc%2Fport%2Finstituicoes%2Finst_autorizadas.asp</w:t>
        </w:r>
      </w:hyperlink>
    </w:p>
    <w:p w14:paraId="01421F0C" w14:textId="77777777" w:rsidR="0090516A" w:rsidRPr="0090516A" w:rsidRDefault="0090516A">
      <w:pPr>
        <w:rPr>
          <w:rFonts w:ascii="Arial" w:hAnsi="Arial" w:cs="Arial"/>
          <w:sz w:val="20"/>
          <w:szCs w:val="20"/>
        </w:rPr>
      </w:pPr>
    </w:p>
    <w:sectPr w:rsidR="0090516A" w:rsidRPr="00905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6A"/>
    <w:rsid w:val="0090516A"/>
    <w:rsid w:val="00B8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12EA"/>
  <w15:chartTrackingRefBased/>
  <w15:docId w15:val="{085B4869-3187-49E8-ADED-0F3B658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051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5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5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cb.gov.br/estabilidadefinanceira/exibenormativo?numero=42402&amp;tipo=Comunicado" TargetMode="External"/><Relationship Id="rId13" Type="http://schemas.openxmlformats.org/officeDocument/2006/relationships/hyperlink" Target="https://www.bcb.gov.br/acessoinformacao/legado?url=https:%2F%2Fwww.bcb.gov.br%2Ffis%2Ftarifas%2Fhtms%2F61723847a.asp%3Fseg%3Dbancossegmento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cb.gov.br/acessoinformacao/legado?url=https:%2F%2Fwww.bcb.gov.br%2Ffis%2Ftarifas%2Fhtms%2F20855875a.asp%3Fseg%3Dbancossegmento11" TargetMode="External"/><Relationship Id="rId12" Type="http://schemas.openxmlformats.org/officeDocument/2006/relationships/hyperlink" Target="https://www.bcb.gov.br/fis/tarifas/htms/11285104.asp?frame=1&amp;seg=bancossegmento1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cb.gov.br/estabilidadefinanceira/exibenormativo?numero=1336&amp;tipo=Ato%20do%20Presidente&amp;utm_source=chatgpt.com" TargetMode="External"/><Relationship Id="rId11" Type="http://schemas.openxmlformats.org/officeDocument/2006/relationships/hyperlink" Target="https://www.bcb.gov.br/conteudo/decap/DecisoesColegiadas/PE%20149605%20-%20Banco%20Neon.pdf" TargetMode="External"/><Relationship Id="rId5" Type="http://schemas.openxmlformats.org/officeDocument/2006/relationships/hyperlink" Target="https://www.bcb.gov.br/conteudo/decap/DecisoesColegiadas/PE%20149605%20-%20Banco%20Neon.pdf?utm_source=chatgpt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cb.gov.br/estabilidadefinanceira/exibenormativo?numero=37329&amp;tipo=Comunicado" TargetMode="External"/><Relationship Id="rId4" Type="http://schemas.openxmlformats.org/officeDocument/2006/relationships/hyperlink" Target="https://www.bcb.gov.br/fis/tarifas/htms/11285104a.asp?frame=1&amp;utm_source=chatgpt.com" TargetMode="External"/><Relationship Id="rId9" Type="http://schemas.openxmlformats.org/officeDocument/2006/relationships/hyperlink" Target="https://dadosabertos.bcb.gov.br/dataset/ir-11285104000106" TargetMode="External"/><Relationship Id="rId14" Type="http://schemas.openxmlformats.org/officeDocument/2006/relationships/hyperlink" Target="https://www.bcb.gov.br/acessoinformacao/legado?url=https:%2F%2Fwww.bcb.gov.br%2Frex%2Fiamc%2Fport%2Finstituicoes%2Finst_autorizadas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912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Agda Morelli</dc:creator>
  <cp:keywords/>
  <dc:description/>
  <cp:lastModifiedBy>Agda Morelli</cp:lastModifiedBy>
  <cp:revision>1</cp:revision>
  <dcterms:created xsi:type="dcterms:W3CDTF">2025-04-21T20:46:00Z</dcterms:created>
  <dcterms:modified xsi:type="dcterms:W3CDTF">2025-04-21T20:52:00Z</dcterms:modified>
</cp:coreProperties>
</file>