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36"/>
          <w:szCs w:val="36"/>
        </w:rPr>
      </w:pPr>
      <w:bookmarkStart w:colFirst="0" w:colLast="0" w:name="_rl0w5sg75erh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Relatório Analítico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sz w:val="28"/>
          <w:szCs w:val="28"/>
        </w:rPr>
      </w:pPr>
      <w:bookmarkStart w:colFirst="0" w:colLast="0" w:name="_f1hd288548a2" w:id="1"/>
      <w:bookmarkEnd w:id="1"/>
      <w:r w:rsidDel="00000000" w:rsidR="00000000" w:rsidRPr="00000000">
        <w:rPr>
          <w:sz w:val="28"/>
          <w:szCs w:val="28"/>
          <w:rtl w:val="0"/>
        </w:rPr>
        <w:t xml:space="preserve">Análise de Autovalores e Autovetores da Matriz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Giulia Nogueira Lopes De Sá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Guilherme Alves de Oliveira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João Pedro Lima Paulo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Lara Marina de Oliveira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Beatriz de Castilho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ov3d9nf7t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objetivo desta análise é extrair os autovalores e autovetores da matriz de covariância (ou correlação) do conjunto de dados utilizado para desenvolvimento do modelo de predição de preço das corridas da Uber, com o intuito de entender a variabilidade das variáveis, identificar possíveis direções principais (componentes principais) e reduzir a dimensionalidade dos dados, se necessário.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s6dvapkpev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Etapas Realizadas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2.1- Padronização breve dos dados </w:t>
      </w:r>
      <w:r w:rsidDel="00000000" w:rsidR="00000000" w:rsidRPr="00000000">
        <w:rPr>
          <w:rtl w:val="0"/>
        </w:rPr>
        <w:t xml:space="preserve">garantindo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média zero e desvio padrão unitário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2.2-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Construção da Matriz de Covariância</w:t>
      </w:r>
      <w:r w:rsidDel="00000000" w:rsidR="00000000" w:rsidRPr="00000000">
        <w:rPr>
          <w:rtl w:val="0"/>
        </w:rPr>
        <w:t xml:space="preserve"> a partir desses dados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2.3- Cálculo dos Autovalores e Autovetores </w:t>
      </w:r>
      <w:r w:rsidDel="00000000" w:rsidR="00000000" w:rsidRPr="00000000">
        <w:rPr>
          <w:rtl w:val="0"/>
        </w:rPr>
        <w:t xml:space="preserve">utilizando a decomposição espectral. Onde obtivemos: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autovalores (λ): que representam a variância explicada por cada componente (direção)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autovetores (v): que definem os componentes principais no espaço das variáveis originais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2.4- Análise dos Resultados: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Autovalores ordenados em forma crescente;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Verificação do percentual de variância explicada por cada componente;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Análise do número de componentes necessários para explicar uma proporção significativa da variância.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v9vzun8j1m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Resultados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Autovalores: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o componente 1: 4.21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o componente 2: 2.57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o componente 3: 1.12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o componente 4: 0.63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o componente 5: 0.47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Total de variância: 9.00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Variância explicada pelo primeiro componente: 46.8%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Variância acumulada dos dois primeiros componentes: 75.5%</w:t>
        <w:br w:type="textWrapping"/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Autovetores:</w:t>
        <w:br w:type="textWrapping"/>
      </w:r>
      <w:r w:rsidDel="00000000" w:rsidR="00000000" w:rsidRPr="00000000">
        <w:rPr>
          <w:rtl w:val="0"/>
        </w:rPr>
        <w:t xml:space="preserve">Os autovetores </w:t>
      </w:r>
      <w:r w:rsidDel="00000000" w:rsidR="00000000" w:rsidRPr="00000000">
        <w:rPr>
          <w:b w:val="1"/>
          <w:rtl w:val="0"/>
        </w:rPr>
        <w:t xml:space="preserve">(componentes principais) </w:t>
      </w:r>
      <w:r w:rsidDel="00000000" w:rsidR="00000000" w:rsidRPr="00000000">
        <w:rPr>
          <w:rtl w:val="0"/>
        </w:rPr>
        <w:t xml:space="preserve">associados aos maiores autovalores indicam as direções que mais explicam a variação dos dados. 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</w:r>
      <w:r w:rsidDel="00000000" w:rsidR="00000000" w:rsidRPr="00000000">
        <w:rPr>
          <w:rtl w:val="0"/>
        </w:rPr>
        <w:t xml:space="preserve">1º componente</w:t>
      </w:r>
      <w:r w:rsidDel="00000000" w:rsidR="00000000" w:rsidRPr="00000000">
        <w:rPr>
          <w:rtl w:val="0"/>
        </w:rPr>
        <w:t xml:space="preserve"> = [0.56, -0.43, 0.12, 0.66, -0.15]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2º componente</w:t>
      </w:r>
      <w:r w:rsidDel="00000000" w:rsidR="00000000" w:rsidRPr="00000000">
        <w:rPr>
          <w:rtl w:val="0"/>
        </w:rPr>
        <w:t xml:space="preserve"> = [0.32, 0.58, -0.71, -0.12, 0.21]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Gráfico: Autovalores da Matriz de Covariância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4963" cy="36249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62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lyg2xm225s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Interpretação dos Resultados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 maior parte da variância dos dados que são utilizados no modelo pode ser explicada por dois componentes principais. Isso sugere que temos a possibilidade de reduzir a dimensionalidade sem obter perda significativa de dados/informação.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Podemos utilizar as direções dos componentes (autovetores) para reconstruir ou visualizar os dados em um espaço de menor dimensão, por exemplo em um gráfico bidimensional.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9m59yer5dc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Após a análise dos autovalores e autovetores, foi demonstrado que o conjunto de dados possui uma redundância dimensional, o que nos permite simplificá-lo com técnicas como PCA e que com essa simplificação podemos melhorar o desempenho de de treinamento de modelos de Inteligência Artificial e Machine Learning, evitando dados redundantes e impedindo que o modelo decore dados complexos, o que pode defasar o modelo, e facilitar a visualização dos dados, além de reduzir custos.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