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8BC" w:rsidRPr="001258BC" w:rsidRDefault="001258BC" w:rsidP="001258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Guia de Estilos &amp; Análise de Componentes de UI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>Este documento apresenta uma análise da interface de usuário (UI) do aplicativo, com o objetivo de identificar e descrever os componentes de design aplicados em cada uma das telas principais. Esta análise serve como documentação de referência para equipes de design e desenvolvimento, garantindo consistência e a aplicação de padrões de UI/UX.</w:t>
      </w:r>
    </w:p>
    <w:p w:rsidR="001258BC" w:rsidRPr="001258BC" w:rsidRDefault="001258BC" w:rsidP="001258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258BC" w:rsidRPr="001258BC" w:rsidRDefault="001258BC" w:rsidP="001258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 Tela de Boas-Vindas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>Esta é a tela inicial que novos usuários ou visitantes visualizam, servindo como ponto de partida para o registro ou login no aplicativo.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 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Ilustração</w:t>
      </w:r>
      <w:proofErr w:type="gram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O elemento visual central com uma sacola de entrega e um hambúrguer estabelece o tema do aplicativo (delivery de comida) de forma amigável e convidativa.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 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Botões</w:t>
      </w:r>
      <w:proofErr w:type="gram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Buttons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</w:p>
    <w:p w:rsidR="001258BC" w:rsidRPr="001258BC" w:rsidRDefault="001258BC" w:rsidP="00125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O botão "Criar conta" é um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Filled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Button" (Botão Preenchido)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>. Ele possui alto destaque e é usado para a ação principal que se deseja que o novo usuário realize.</w:t>
      </w:r>
    </w:p>
    <w:p w:rsidR="001258BC" w:rsidRPr="001258BC" w:rsidRDefault="001258BC" w:rsidP="00125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O botão "Login" é um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Filled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Tonal Button" (Botão de Tonalidade Preenchida) ou 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Outlined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Button" (Botão Contornado)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, que tem </w:t>
      </w:r>
      <w:proofErr w:type="gramStart"/>
      <w:r w:rsidRPr="001258BC">
        <w:rPr>
          <w:rFonts w:ascii="Arial" w:eastAsia="Times New Roman" w:hAnsi="Arial" w:cs="Arial"/>
          <w:sz w:val="24"/>
          <w:szCs w:val="24"/>
          <w:lang w:eastAsia="pt-BR"/>
        </w:rPr>
        <w:t>um ênfase menor</w:t>
      </w:r>
      <w:proofErr w:type="gram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e serve como a ação secundária na tela.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2B25996B">
            <wp:simplePos x="0" y="0"/>
            <wp:positionH relativeFrom="margin">
              <wp:align>center</wp:align>
            </wp:positionH>
            <wp:positionV relativeFrom="paragraph">
              <wp:posOffset>53937</wp:posOffset>
            </wp:positionV>
            <wp:extent cx="2060818" cy="4394579"/>
            <wp:effectExtent l="38100" t="38100" r="34925" b="4445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818" cy="4394579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122BB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  <w:r w:rsidRPr="001258BC">
        <w:rPr>
          <w:rFonts w:ascii="Arial" w:hAnsi="Arial" w:cs="Arial"/>
        </w:rPr>
        <w:br/>
      </w:r>
      <w:r w:rsidRPr="001258BC">
        <w:rPr>
          <w:rFonts w:ascii="Arial" w:hAnsi="Arial" w:cs="Arial"/>
        </w:rPr>
        <w:br/>
      </w:r>
    </w:p>
    <w:p w:rsidR="001258BC" w:rsidRPr="001258BC" w:rsidRDefault="001258BC">
      <w:pPr>
        <w:rPr>
          <w:rFonts w:ascii="Arial" w:hAnsi="Arial" w:cs="Arial"/>
        </w:rPr>
      </w:pPr>
      <w:r w:rsidRPr="001258BC">
        <w:rPr>
          <w:rFonts w:ascii="Arial" w:hAnsi="Arial" w:cs="Arial"/>
        </w:rPr>
        <w:br w:type="page"/>
      </w:r>
    </w:p>
    <w:p w:rsidR="001258BC" w:rsidRPr="001258BC" w:rsidRDefault="001258BC" w:rsidP="001258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2. Tela de Criação de Conta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>Esta tela permite que novos usuários se registrem no serviço.</w:t>
      </w:r>
    </w:p>
    <w:p w:rsidR="001258BC" w:rsidRPr="001258BC" w:rsidRDefault="001258BC" w:rsidP="0012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Abas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Tabs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Os seletores "Criar conta" e "Login" no topo funcionam como abas, permitindo ao usuário alternar facilmente entre os formulários de registro e login sem sair do contexto.</w:t>
      </w:r>
    </w:p>
    <w:p w:rsidR="001258BC" w:rsidRPr="001258BC" w:rsidRDefault="001258BC" w:rsidP="0012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Campos de Texto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Fields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Os campos "Nome completo", "</w:t>
      </w:r>
      <w:proofErr w:type="spellStart"/>
      <w:r w:rsidRPr="001258BC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" e "Senha" utilizam o estilo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Outlined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 (Contornado)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>. Este estilo é ideal para formulários, oferecendo clareza e boa legibilidade.</w:t>
      </w:r>
    </w:p>
    <w:p w:rsidR="001258BC" w:rsidRPr="001258BC" w:rsidRDefault="001258BC" w:rsidP="0012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Botão (Button):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O botão "Registrar-se" é um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Filled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Button"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>, indicando a ação principal e final para completar o cadastro na tela.</w:t>
      </w:r>
    </w:p>
    <w:p w:rsidR="001258BC" w:rsidRPr="001258BC" w:rsidRDefault="001258BC" w:rsidP="001258B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1" locked="0" layoutInCell="1" allowOverlap="1" wp14:anchorId="0479A39E">
            <wp:simplePos x="0" y="0"/>
            <wp:positionH relativeFrom="margin">
              <wp:align>center</wp:align>
            </wp:positionH>
            <wp:positionV relativeFrom="paragraph">
              <wp:posOffset>231064</wp:posOffset>
            </wp:positionV>
            <wp:extent cx="2611120" cy="5627370"/>
            <wp:effectExtent l="38100" t="38100" r="36830" b="3048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562737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58BC" w:rsidRPr="001258BC" w:rsidRDefault="001258BC" w:rsidP="001258B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1258BC" w:rsidRPr="001258BC" w:rsidRDefault="001258BC" w:rsidP="001258B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1258BC" w:rsidRPr="001258BC" w:rsidRDefault="001258BC" w:rsidP="001258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 Tela de Recuperação de Senha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>Tela projetada para auxiliar os usuários que esqueceram suas senhas a recuperarem o acesso à conta.</w:t>
      </w:r>
    </w:p>
    <w:p w:rsidR="001258BC" w:rsidRPr="001258BC" w:rsidRDefault="001258BC" w:rsidP="00125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Campo de Texto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Field):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O campo "</w:t>
      </w:r>
      <w:proofErr w:type="spellStart"/>
      <w:r w:rsidRPr="001258BC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" é um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Outlined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Field"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>, usado para coletar o endereço de e-mail do usuário para o processo de recuperação.</w:t>
      </w:r>
    </w:p>
    <w:p w:rsidR="001258BC" w:rsidRPr="001258BC" w:rsidRDefault="001258BC" w:rsidP="00125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Botões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Buttons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</w:p>
    <w:p w:rsidR="001258BC" w:rsidRPr="001258BC" w:rsidRDefault="001258BC" w:rsidP="00125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O botão "Enviar" é a ação principal, implementado como um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Filled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Button"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para ter o máximo de destaque.</w:t>
      </w:r>
    </w:p>
    <w:p w:rsidR="001258BC" w:rsidRPr="001258BC" w:rsidRDefault="001258BC" w:rsidP="00125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O link "Lembrou da senha? Entrar" é um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Button" (Botão de Texto)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>, usado para uma ação secundária que permite ao usuário navegar de volta para a tela de login.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1" locked="0" layoutInCell="1" allowOverlap="1" wp14:anchorId="797181D0">
            <wp:simplePos x="0" y="0"/>
            <wp:positionH relativeFrom="margin">
              <wp:align>center</wp:align>
            </wp:positionH>
            <wp:positionV relativeFrom="paragraph">
              <wp:posOffset>334967</wp:posOffset>
            </wp:positionV>
            <wp:extent cx="2402006" cy="5145350"/>
            <wp:effectExtent l="38100" t="38100" r="36830" b="3683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006" cy="51453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1258BC" w:rsidRPr="001258BC" w:rsidRDefault="001258BC" w:rsidP="001258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 Tela Principal (Cardápio)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>Nesta tela, os usuários podem explorar os produtos oferecidos, pesquisar e navegar pelas categorias.</w:t>
      </w:r>
    </w:p>
    <w:p w:rsidR="001258BC" w:rsidRPr="001258BC" w:rsidRDefault="001258BC" w:rsidP="00125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Barra de Aplicativo Superior (Top App Bar):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A barra superior que contém os ícones de menu (hambúrguer) e perfil do usuário é uma Top App Bar.</w:t>
      </w:r>
    </w:p>
    <w:p w:rsidR="001258BC" w:rsidRPr="001258BC" w:rsidRDefault="001258BC" w:rsidP="00125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Barra de Pesquisa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Search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Bar):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A barra "Procurar" permite que os usuários pesquisem itens específicos no cardápio de forma rápida.</w:t>
      </w:r>
    </w:p>
    <w:p w:rsidR="001258BC" w:rsidRPr="001258BC" w:rsidRDefault="001258BC" w:rsidP="00125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Cartões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Cards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Tanto o banner de "Promoção do dia" quanto os itens individuais ("</w:t>
      </w:r>
      <w:proofErr w:type="spellStart"/>
      <w:r w:rsidRPr="001258BC">
        <w:rPr>
          <w:rFonts w:ascii="Arial" w:eastAsia="Times New Roman" w:hAnsi="Arial" w:cs="Arial"/>
          <w:sz w:val="24"/>
          <w:szCs w:val="24"/>
          <w:lang w:eastAsia="pt-BR"/>
        </w:rPr>
        <w:t>Esfiha</w:t>
      </w:r>
      <w:proofErr w:type="spell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de Carne", "</w:t>
      </w:r>
      <w:proofErr w:type="spellStart"/>
      <w:r w:rsidRPr="001258BC">
        <w:rPr>
          <w:rFonts w:ascii="Arial" w:eastAsia="Times New Roman" w:hAnsi="Arial" w:cs="Arial"/>
          <w:sz w:val="24"/>
          <w:szCs w:val="24"/>
          <w:lang w:eastAsia="pt-BR"/>
        </w:rPr>
        <w:t>Fogazza</w:t>
      </w:r>
      <w:proofErr w:type="spell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de frango") são apresentados em </w:t>
      </w:r>
      <w:proofErr w:type="spellStart"/>
      <w:r w:rsidRPr="001258BC">
        <w:rPr>
          <w:rFonts w:ascii="Arial" w:eastAsia="Times New Roman" w:hAnsi="Arial" w:cs="Arial"/>
          <w:sz w:val="20"/>
          <w:szCs w:val="20"/>
          <w:lang w:eastAsia="pt-BR"/>
        </w:rPr>
        <w:t>Cards</w:t>
      </w:r>
      <w:proofErr w:type="spell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>. Os cartões agrupam informações relacionadas (imagem, nome, preço) de forma organizada e visualmente atraente.</w:t>
      </w:r>
    </w:p>
    <w:p w:rsidR="001258BC" w:rsidRPr="001258BC" w:rsidRDefault="001258BC" w:rsidP="00125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Barra de Navegação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Navigation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Bar):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A barra na parte inferior da tela com ícones (Início, Pedidos, Perfil) é uma </w:t>
      </w:r>
      <w:proofErr w:type="spellStart"/>
      <w:r w:rsidRPr="001258BC">
        <w:rPr>
          <w:rFonts w:ascii="Arial" w:eastAsia="Times New Roman" w:hAnsi="Arial" w:cs="Arial"/>
          <w:sz w:val="20"/>
          <w:szCs w:val="20"/>
          <w:lang w:eastAsia="pt-BR"/>
        </w:rPr>
        <w:t>Navigation</w:t>
      </w:r>
      <w:proofErr w:type="spellEnd"/>
      <w:r w:rsidRPr="001258BC">
        <w:rPr>
          <w:rFonts w:ascii="Arial" w:eastAsia="Times New Roman" w:hAnsi="Arial" w:cs="Arial"/>
          <w:sz w:val="20"/>
          <w:szCs w:val="20"/>
          <w:lang w:eastAsia="pt-BR"/>
        </w:rPr>
        <w:t xml:space="preserve"> Bar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>, que oferece acesso às principais seções do aplicativo.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1" locked="0" layoutInCell="1" allowOverlap="1" wp14:anchorId="58DE1F6D">
            <wp:simplePos x="0" y="0"/>
            <wp:positionH relativeFrom="margin">
              <wp:align>center</wp:align>
            </wp:positionH>
            <wp:positionV relativeFrom="paragraph">
              <wp:posOffset>83586</wp:posOffset>
            </wp:positionV>
            <wp:extent cx="2380930" cy="5133881"/>
            <wp:effectExtent l="38100" t="38100" r="38735" b="2921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930" cy="5133881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58BC" w:rsidRPr="001258BC" w:rsidRDefault="001258BC" w:rsidP="001258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1258BC" w:rsidRPr="001258BC" w:rsidRDefault="001258BC" w:rsidP="001258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 Tela do Carrinho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>Esta tela exibe os itens que o usuário selecionou para compra, permitindo a revisão antes de finalizar o pedido.</w:t>
      </w:r>
    </w:p>
    <w:p w:rsidR="001258BC" w:rsidRPr="001258BC" w:rsidRDefault="001258BC" w:rsidP="00125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Barra de Aplicativo Superior (Top App Bar):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Contém um ícone de navegação para voltar à tela anterior e o título "Carrinho", informando ao usuário sua localização no app.</w:t>
      </w:r>
    </w:p>
    <w:p w:rsidR="001258BC" w:rsidRPr="001258BC" w:rsidRDefault="001258BC" w:rsidP="00125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Lista e Cartões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&amp; 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Cards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Os itens no carrinho são exibidos em uma lista, onde cada item é formatado como um </w:t>
      </w:r>
      <w:proofErr w:type="spellStart"/>
      <w:r w:rsidRPr="001258BC">
        <w:rPr>
          <w:rFonts w:ascii="Arial" w:eastAsia="Times New Roman" w:hAnsi="Arial" w:cs="Arial"/>
          <w:sz w:val="20"/>
          <w:szCs w:val="20"/>
          <w:lang w:eastAsia="pt-BR"/>
        </w:rPr>
        <w:t>Card</w:t>
      </w:r>
      <w:proofErr w:type="spell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>, contendo imagem, nome, preço e um botão de ação.</w:t>
      </w:r>
    </w:p>
    <w:p w:rsidR="001258BC" w:rsidRPr="001258BC" w:rsidRDefault="001258BC" w:rsidP="00125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Botões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Buttons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</w:p>
    <w:p w:rsidR="001258BC" w:rsidRPr="001258BC" w:rsidRDefault="001258BC" w:rsidP="001258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O botão "Avançar" é o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Filled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Button"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principal, guiando o usuário para a próxima etapa (checkout).</w:t>
      </w:r>
    </w:p>
    <w:p w:rsidR="001258BC" w:rsidRPr="001258BC" w:rsidRDefault="001258BC" w:rsidP="001258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"Adicionar mais" é um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Button" com ícone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>, oferecendo uma ação secundária para continuar comprando.</w:t>
      </w:r>
    </w:p>
    <w:p w:rsidR="001258BC" w:rsidRPr="001258BC" w:rsidRDefault="001258BC" w:rsidP="001258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>Os botões "</w:t>
      </w:r>
      <w:proofErr w:type="spellStart"/>
      <w:r w:rsidRPr="001258BC">
        <w:rPr>
          <w:rFonts w:ascii="Arial" w:eastAsia="Times New Roman" w:hAnsi="Arial" w:cs="Arial"/>
          <w:sz w:val="24"/>
          <w:szCs w:val="24"/>
          <w:lang w:eastAsia="pt-BR"/>
        </w:rPr>
        <w:t>Check</w:t>
      </w:r>
      <w:proofErr w:type="spell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" ao lado de cada item são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Filled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Buttons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>, provavelmente para confirmar ou modificar um item específico.</w:t>
      </w:r>
    </w:p>
    <w:p w:rsidR="001258BC" w:rsidRPr="001258BC" w:rsidRDefault="001258BC">
      <w:pPr>
        <w:rPr>
          <w:rFonts w:ascii="Arial" w:hAnsi="Arial" w:cs="Arial"/>
        </w:rPr>
      </w:pPr>
      <w:r w:rsidRPr="001258BC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4CEB60C7">
            <wp:simplePos x="0" y="0"/>
            <wp:positionH relativeFrom="margin">
              <wp:align>center</wp:align>
            </wp:positionH>
            <wp:positionV relativeFrom="paragraph">
              <wp:posOffset>41798</wp:posOffset>
            </wp:positionV>
            <wp:extent cx="2430379" cy="5259389"/>
            <wp:effectExtent l="38100" t="38100" r="46355" b="3683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379" cy="5259389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  <w:r w:rsidRPr="001258BC">
        <w:rPr>
          <w:rFonts w:ascii="Arial" w:hAnsi="Arial" w:cs="Arial"/>
        </w:rPr>
        <w:br w:type="page"/>
      </w:r>
    </w:p>
    <w:p w:rsidR="001258BC" w:rsidRPr="001258BC" w:rsidRDefault="001258BC" w:rsidP="001258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43" style="width:0;height:1.5pt" o:hralign="center" o:hrstd="t" o:hr="t" fillcolor="#a0a0a0" stroked="f"/>
        </w:pict>
      </w:r>
    </w:p>
    <w:p w:rsidR="001258BC" w:rsidRPr="001258BC" w:rsidRDefault="001258BC" w:rsidP="001258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6. Tela de Forma de Pagamento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>Esta tela é apresentada durante o processo de checkout, permitindo ao usuário escolher o método de pagamento desejado para o seu pedido.</w:t>
      </w:r>
    </w:p>
    <w:p w:rsidR="001258BC" w:rsidRPr="001258BC" w:rsidRDefault="001258BC" w:rsidP="00125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Barra de Aplicativo Superior (Top App Bar):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Exibe o título da tela ("Forma de pagamento") e inclui um ícone de navegação para retornar à etapa anterior do processo de compra.</w:t>
      </w:r>
    </w:p>
    <w:p w:rsidR="001258BC" w:rsidRPr="001258BC" w:rsidRDefault="001258BC" w:rsidP="00125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Lista e Cartões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&amp; 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Cards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As opções de pagamento ("</w:t>
      </w:r>
      <w:proofErr w:type="spellStart"/>
      <w:r w:rsidRPr="001258BC">
        <w:rPr>
          <w:rFonts w:ascii="Arial" w:eastAsia="Times New Roman" w:hAnsi="Arial" w:cs="Arial"/>
          <w:sz w:val="24"/>
          <w:szCs w:val="24"/>
          <w:lang w:eastAsia="pt-BR"/>
        </w:rPr>
        <w:t>Pix</w:t>
      </w:r>
      <w:proofErr w:type="spell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", "Cartão de crédito", "Dinheiro") são organizadas em uma lista vertical. Cada opção é contida em um </w:t>
      </w:r>
      <w:proofErr w:type="spellStart"/>
      <w:r w:rsidRPr="001258BC">
        <w:rPr>
          <w:rFonts w:ascii="Arial" w:eastAsia="Times New Roman" w:hAnsi="Arial" w:cs="Arial"/>
          <w:sz w:val="20"/>
          <w:szCs w:val="20"/>
          <w:lang w:eastAsia="pt-BR"/>
        </w:rPr>
        <w:t>Card</w:t>
      </w:r>
      <w:proofErr w:type="spellEnd"/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ou item de lista que agrupa um ícone, o nome do método e um botão de ação.</w:t>
      </w:r>
    </w:p>
    <w:p w:rsidR="001258BC" w:rsidRPr="001258BC" w:rsidRDefault="001258BC" w:rsidP="00125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Ícones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Icons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Cada método de pagamento é representado por um ícone visual claro e distinto, o que melhora a usabilidade e a rápida identificação das opções.</w:t>
      </w:r>
    </w:p>
    <w:p w:rsidR="001258BC" w:rsidRPr="001258BC" w:rsidRDefault="001258BC" w:rsidP="00125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Botões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Buttons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O botão "Selecionar" ao lado de cada opção é um </w:t>
      </w: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Filled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Button" (Botão Preenchido)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>, projetado para que o usuário confirme sua escolha de forma clara e direta.</w:t>
      </w:r>
    </w:p>
    <w:p w:rsidR="001258BC" w:rsidRPr="001258BC" w:rsidRDefault="001258BC" w:rsidP="00125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Barra de Navegação (</w:t>
      </w:r>
      <w:proofErr w:type="spellStart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Navigation</w:t>
      </w:r>
      <w:proofErr w:type="spellEnd"/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Bar):</w:t>
      </w:r>
      <w:r w:rsidRPr="001258BC">
        <w:rPr>
          <w:rFonts w:ascii="Arial" w:eastAsia="Times New Roman" w:hAnsi="Arial" w:cs="Arial"/>
          <w:sz w:val="24"/>
          <w:szCs w:val="24"/>
          <w:lang w:eastAsia="pt-BR"/>
        </w:rPr>
        <w:t xml:space="preserve"> A barra de navegação inferior permanece visível, garantindo que o usuário possa acessar as seções principais do aplicativo a qualquer momento.</w:t>
      </w:r>
    </w:p>
    <w:p w:rsidR="001258BC" w:rsidRPr="001258BC" w:rsidRDefault="001258BC">
      <w:pPr>
        <w:rPr>
          <w:rFonts w:ascii="Arial" w:hAnsi="Arial" w:cs="Arial"/>
        </w:rPr>
      </w:pPr>
      <w:r w:rsidRPr="001258BC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2AD88E87">
            <wp:simplePos x="0" y="0"/>
            <wp:positionH relativeFrom="margin">
              <wp:align>center</wp:align>
            </wp:positionH>
            <wp:positionV relativeFrom="paragraph">
              <wp:posOffset>46692</wp:posOffset>
            </wp:positionV>
            <wp:extent cx="2420470" cy="5317309"/>
            <wp:effectExtent l="38100" t="38100" r="37465" b="3619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470" cy="5317309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</w:p>
    <w:p w:rsidR="001258BC" w:rsidRPr="001258BC" w:rsidRDefault="001258BC">
      <w:pPr>
        <w:rPr>
          <w:rFonts w:ascii="Arial" w:hAnsi="Arial" w:cs="Arial"/>
        </w:rPr>
      </w:pPr>
      <w:r w:rsidRPr="001258BC">
        <w:rPr>
          <w:rFonts w:ascii="Arial" w:hAnsi="Arial" w:cs="Arial"/>
        </w:rPr>
        <w:br w:type="page"/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Com certeza. Baseado nas imagens fornecidas, aqui está um Guia de Cores que define a paleta utilizada no aplicativo.</w:t>
      </w:r>
    </w:p>
    <w:p w:rsidR="001258BC" w:rsidRPr="001258BC" w:rsidRDefault="001258BC" w:rsidP="001258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1258BC" w:rsidRPr="001258BC" w:rsidRDefault="001258BC" w:rsidP="001258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Guia de Cores</w:t>
      </w:r>
    </w:p>
    <w:p w:rsidR="001258BC" w:rsidRPr="001258BC" w:rsidRDefault="001258BC" w:rsidP="001258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sz w:val="24"/>
          <w:szCs w:val="24"/>
          <w:lang w:eastAsia="pt-BR"/>
        </w:rPr>
        <w:t>A paleta de cores do aplicativo é limpa e moderna, focada em tons de verde para criar uma identidade visual associada a frescor e positividade. As cores são aplicadas de forma consistente para guiar o usuário, destacar ações importantes e garantir uma excelente legibilidade.</w:t>
      </w:r>
    </w:p>
    <w:p w:rsidR="001258BC" w:rsidRPr="001258BC" w:rsidRDefault="001258BC" w:rsidP="001258B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258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Paleta de Cores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688"/>
        <w:gridCol w:w="6354"/>
      </w:tblGrid>
      <w:tr w:rsidR="001258BC" w:rsidRPr="001258BC" w:rsidTr="00125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</w:t>
            </w:r>
          </w:p>
        </w:tc>
        <w:tc>
          <w:tcPr>
            <w:tcW w:w="166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Hex</w:t>
            </w:r>
            <w:proofErr w:type="spellEnd"/>
          </w:p>
        </w:tc>
        <w:tc>
          <w:tcPr>
            <w:tcW w:w="633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Descrição e Uso</w:t>
            </w:r>
          </w:p>
        </w:tc>
      </w:tr>
      <w:tr w:rsidR="001258BC" w:rsidRPr="001258BC" w:rsidTr="001258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66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#34B27C</w:t>
            </w:r>
          </w:p>
        </w:tc>
        <w:tc>
          <w:tcPr>
            <w:tcW w:w="633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Verde Principal (Ação):</w:t>
            </w:r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É a cor primária da marca, usada em todos os elementos de ação principais, como os botões "Registrar-se", "Avançar", "Enviar" e "Selecionar". Garante que os pontos de interação mais importantes tenham o máximo de destaque visual.</w:t>
            </w:r>
          </w:p>
        </w:tc>
      </w:tr>
      <w:tr w:rsidR="001258BC" w:rsidRPr="001258BC" w:rsidTr="001258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66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#D3F4E5</w:t>
            </w:r>
          </w:p>
        </w:tc>
        <w:tc>
          <w:tcPr>
            <w:tcW w:w="633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Verde Claro (Secundário):</w:t>
            </w:r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Utilizado como uma cor de fundo ou para elementos de menor ênfase, como o botão "Login" na tela de boas-vindas. Oferece um contraste suave com o verde principal, criando uma hierarquia visual clara.</w:t>
            </w:r>
          </w:p>
        </w:tc>
      </w:tr>
      <w:tr w:rsidR="001258BC" w:rsidRPr="001258BC" w:rsidTr="001258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66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#FFFFFF</w:t>
            </w:r>
          </w:p>
        </w:tc>
        <w:tc>
          <w:tcPr>
            <w:tcW w:w="633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Branco (Fundo):</w:t>
            </w:r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Usado como a cor principal para o fundo das telas de formulário e listas, como no carrinho e na seleção de pagamento. Proporciona um ambiente limpo e maximiza a legibilidade do conteúdo.</w:t>
            </w:r>
          </w:p>
        </w:tc>
      </w:tr>
      <w:tr w:rsidR="001258BC" w:rsidRPr="001258BC" w:rsidTr="001258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66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#F5F5F5</w:t>
            </w:r>
          </w:p>
        </w:tc>
        <w:tc>
          <w:tcPr>
            <w:tcW w:w="633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Cinza Claro (Fundo Alternativo):</w:t>
            </w:r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Aplicado em fundos de componentes específicos, como </w:t>
            </w:r>
            <w:bookmarkStart w:id="0" w:name="_GoBack"/>
            <w:bookmarkEnd w:id="0"/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 barra de pesquisa na tela principal, para diferenciá-la sutilmente do fundo branco.</w:t>
            </w:r>
          </w:p>
        </w:tc>
      </w:tr>
      <w:tr w:rsidR="001258BC" w:rsidRPr="001258BC" w:rsidTr="001258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66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#EEEEEE</w:t>
            </w:r>
          </w:p>
        </w:tc>
        <w:tc>
          <w:tcPr>
            <w:tcW w:w="633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Cinza Médio (Bordas):</w:t>
            </w:r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Utilizado nas bordas dos campos de texto ("</w:t>
            </w:r>
            <w:proofErr w:type="spellStart"/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Text</w:t>
            </w:r>
            <w:proofErr w:type="spellEnd"/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Fields</w:t>
            </w:r>
            <w:proofErr w:type="spellEnd"/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"), como na tela de criação de conta, para delimitar a área de input de forma suave.</w:t>
            </w:r>
          </w:p>
        </w:tc>
      </w:tr>
      <w:tr w:rsidR="001258BC" w:rsidRPr="001258BC" w:rsidTr="001258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66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#424242</w:t>
            </w:r>
          </w:p>
        </w:tc>
        <w:tc>
          <w:tcPr>
            <w:tcW w:w="633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Cinza Escuro (Texto Principal):</w:t>
            </w:r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Cor usada para os títulos e textos mais importantes, como "Seja </w:t>
            </w:r>
            <w:proofErr w:type="gramStart"/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Bem Vindo</w:t>
            </w:r>
            <w:proofErr w:type="gramEnd"/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", "Recomendados" e os nomes dos itens, garantindo alto contraste e fácil leitura.</w:t>
            </w:r>
          </w:p>
        </w:tc>
      </w:tr>
      <w:tr w:rsidR="001258BC" w:rsidRPr="001258BC" w:rsidTr="001258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66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#757575</w:t>
            </w:r>
          </w:p>
        </w:tc>
        <w:tc>
          <w:tcPr>
            <w:tcW w:w="6332" w:type="dxa"/>
            <w:vAlign w:val="center"/>
            <w:hideMark/>
          </w:tcPr>
          <w:p w:rsidR="001258BC" w:rsidRPr="001258BC" w:rsidRDefault="001258BC" w:rsidP="001258B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258B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Cinza (Texto Secundário):</w:t>
            </w:r>
            <w:r w:rsidRPr="001258B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Aplicada em textos de menor importância, como os subtítulos ("Os melhores do dia de hoje") e os preços dos produtos, criando uma hierarquia textual clara.</w:t>
            </w:r>
          </w:p>
        </w:tc>
      </w:tr>
    </w:tbl>
    <w:p w:rsidR="001258BC" w:rsidRPr="001258BC" w:rsidRDefault="001258BC">
      <w:pPr>
        <w:rPr>
          <w:rFonts w:ascii="Arial" w:hAnsi="Arial" w:cs="Arial"/>
        </w:rPr>
      </w:pPr>
    </w:p>
    <w:sectPr w:rsidR="001258BC" w:rsidRPr="00125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70ABC"/>
    <w:multiLevelType w:val="multilevel"/>
    <w:tmpl w:val="12C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E7C56"/>
    <w:multiLevelType w:val="multilevel"/>
    <w:tmpl w:val="7E7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82FE1"/>
    <w:multiLevelType w:val="multilevel"/>
    <w:tmpl w:val="1C0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D0E22"/>
    <w:multiLevelType w:val="multilevel"/>
    <w:tmpl w:val="9CC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50978"/>
    <w:multiLevelType w:val="multilevel"/>
    <w:tmpl w:val="FBB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64B63"/>
    <w:multiLevelType w:val="multilevel"/>
    <w:tmpl w:val="B72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BC"/>
    <w:rsid w:val="001258BC"/>
    <w:rsid w:val="00B05A7F"/>
    <w:rsid w:val="00B2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748E11F"/>
  <w15:chartTrackingRefBased/>
  <w15:docId w15:val="{8E039BA9-C29F-4F5C-9B0D-9A4E456A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25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58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258B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2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1">
    <w:name w:val="citation-21"/>
    <w:basedOn w:val="Fontepargpadro"/>
    <w:rsid w:val="001258BC"/>
  </w:style>
  <w:style w:type="character" w:customStyle="1" w:styleId="citation-20">
    <w:name w:val="citation-20"/>
    <w:basedOn w:val="Fontepargpadro"/>
    <w:rsid w:val="001258BC"/>
  </w:style>
  <w:style w:type="character" w:customStyle="1" w:styleId="citation-19">
    <w:name w:val="citation-19"/>
    <w:basedOn w:val="Fontepargpadro"/>
    <w:rsid w:val="001258BC"/>
  </w:style>
  <w:style w:type="character" w:customStyle="1" w:styleId="citation-18">
    <w:name w:val="citation-18"/>
    <w:basedOn w:val="Fontepargpadro"/>
    <w:rsid w:val="001258BC"/>
  </w:style>
  <w:style w:type="character" w:customStyle="1" w:styleId="citation-17">
    <w:name w:val="citation-17"/>
    <w:basedOn w:val="Fontepargpadro"/>
    <w:rsid w:val="001258BC"/>
  </w:style>
  <w:style w:type="character" w:customStyle="1" w:styleId="citation-16">
    <w:name w:val="citation-16"/>
    <w:basedOn w:val="Fontepargpadro"/>
    <w:rsid w:val="001258BC"/>
  </w:style>
  <w:style w:type="character" w:customStyle="1" w:styleId="citation-15">
    <w:name w:val="citation-15"/>
    <w:basedOn w:val="Fontepargpadro"/>
    <w:rsid w:val="001258BC"/>
  </w:style>
  <w:style w:type="character" w:customStyle="1" w:styleId="citation-14">
    <w:name w:val="citation-14"/>
    <w:basedOn w:val="Fontepargpadro"/>
    <w:rsid w:val="001258BC"/>
  </w:style>
  <w:style w:type="character" w:styleId="CdigoHTML">
    <w:name w:val="HTML Code"/>
    <w:basedOn w:val="Fontepargpadro"/>
    <w:uiPriority w:val="99"/>
    <w:semiHidden/>
    <w:unhideWhenUsed/>
    <w:rsid w:val="001258BC"/>
    <w:rPr>
      <w:rFonts w:ascii="Courier New" w:eastAsia="Times New Roman" w:hAnsi="Courier New" w:cs="Courier New"/>
      <w:sz w:val="20"/>
      <w:szCs w:val="20"/>
    </w:rPr>
  </w:style>
  <w:style w:type="character" w:customStyle="1" w:styleId="citation-13">
    <w:name w:val="citation-13"/>
    <w:basedOn w:val="Fontepargpadro"/>
    <w:rsid w:val="001258BC"/>
  </w:style>
  <w:style w:type="character" w:customStyle="1" w:styleId="citation-12">
    <w:name w:val="citation-12"/>
    <w:basedOn w:val="Fontepargpadro"/>
    <w:rsid w:val="001258BC"/>
  </w:style>
  <w:style w:type="character" w:customStyle="1" w:styleId="citation-11">
    <w:name w:val="citation-11"/>
    <w:basedOn w:val="Fontepargpadro"/>
    <w:rsid w:val="001258BC"/>
  </w:style>
  <w:style w:type="character" w:customStyle="1" w:styleId="Ttulo4Char">
    <w:name w:val="Título 4 Char"/>
    <w:basedOn w:val="Fontepargpadro"/>
    <w:link w:val="Ttulo4"/>
    <w:uiPriority w:val="9"/>
    <w:semiHidden/>
    <w:rsid w:val="001258B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9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1099</Words>
  <Characters>5937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da Silva Macedo</dc:creator>
  <cp:keywords/>
  <dc:description/>
  <cp:lastModifiedBy>Pedro Augusto da Silva Macedo</cp:lastModifiedBy>
  <cp:revision>1</cp:revision>
  <dcterms:created xsi:type="dcterms:W3CDTF">2025-10-08T00:54:00Z</dcterms:created>
  <dcterms:modified xsi:type="dcterms:W3CDTF">2025-10-08T01:04:00Z</dcterms:modified>
</cp:coreProperties>
</file>