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algun Gothic" w:cs="Malgun Gothic" w:eastAsia="Malgun Gothic" w:hAnsi="Malgun Gothic"/>
          <w:b/>
          <w:bCs/>
          <w:sz w:val="34"/>
          <w:szCs w:val="34"/>
        </w:rPr>
        <w:t xml:space="preserve">이동격차 지수 기반 DRT·마을버스 우선배치</w:t>
      </w:r>
    </w:p>
    <w:p>
      <w:pPr>
        <w:spacing w:after="60"/>
        <w:jc w:val="center"/>
      </w:pPr>
      <w:r>
        <w:rPr>
          <w:rFonts w:ascii="Malgun Gothic" w:cs="Malgun Gothic" w:eastAsia="Malgun Gothic" w:hAnsi="Malgun Gothic"/>
          <w:b/>
          <w:bCs/>
          <w:color w:val="1F4E79"/>
          <w:sz w:val="26"/>
          <w:szCs w:val="26"/>
        </w:rPr>
        <w:t xml:space="preserve">대상지역 선정을 위한 전국 스크리닝 EDA 결과</w:t>
      </w:r>
    </w:p>
    <w:p>
      <w:pPr>
        <w:spacing w:after="320"/>
        <w:jc w:val="center"/>
      </w:pPr>
      <w:r>
        <w:rPr>
          <w:rFonts w:ascii="Malgun Gothic" w:cs="Malgun Gothic" w:eastAsia="Malgun Gothic" w:hAnsi="Malgun Gothic"/>
          <w:color w:val="777777"/>
          <w:sz w:val="19"/>
          <w:szCs w:val="19"/>
        </w:rPr>
        <w:t xml:space="preserve">AI와 함께하는 교통문제 해결을 위한 데이터 분석 공모전</w:t>
      </w:r>
    </w:p>
    <w:p>
      <w:pPr>
        <w:pStyle w:val="Heading1"/>
        <w:spacing w:after="160" w:before="320"/>
      </w:pPr>
      <w:r>
        <w:rPr>
          <w:rFonts w:ascii="Malgun Gothic" w:cs="Malgun Gothic" w:eastAsia="Malgun Gothic" w:hAnsi="Malgun Gothic"/>
          <w:b/>
          <w:bCs/>
          <w:sz w:val="30"/>
          <w:szCs w:val="30"/>
        </w:rPr>
        <w:t xml:space="preserve">1. 분석 개요</w:t>
      </w:r>
    </w:p>
    <w:p>
      <w:pPr>
        <w:spacing w:after="160" w:line="300"/>
      </w:pPr>
      <w:r>
        <w:rPr>
          <w:rFonts w:ascii="Malgun Gothic" w:cs="Malgun Gothic" w:eastAsia="Malgun Gothic" w:hAnsi="Malgun Gothic"/>
          <w:sz w:val="21"/>
          <w:szCs w:val="21"/>
        </w:rPr>
        <w:t xml:space="preserve">본 분석은 전국 단위로 DRT(수요응답형 교통) 및 마을버스 우선배치 대상지를 곧바로 설계하기에 앞서, "이동격차 지수"를 기준으로 어느 시군구가 우선적으로 검토되어야 하는지를 선별(screening)하기 위한 탐색적 데이터 분석(EDA)이다. 전국 시군구 단위로 대중교통 공급 수준, 인구 취약성, 탄소중립 부담을 종합한 지수를 산출하고, 상위 지역의 특성을 확인하는 것을 목적으로 한다.</w:t>
      </w:r>
    </w:p>
    <w:p>
      <w:pPr>
        <w:pStyle w:val="Heading1"/>
        <w:spacing w:after="160" w:before="320"/>
      </w:pPr>
      <w:r>
        <w:rPr>
          <w:rFonts w:ascii="Malgun Gothic" w:cs="Malgun Gothic" w:eastAsia="Malgun Gothic" w:hAnsi="Malgun Gothic"/>
          <w:b/>
          <w:bCs/>
          <w:sz w:val="30"/>
          <w:szCs w:val="30"/>
        </w:rPr>
        <w:t xml:space="preserve">2. 데이터 및 방법론</w:t>
      </w:r>
    </w:p>
    <w:p>
      <w:pPr>
        <w:pStyle w:val="Heading2"/>
        <w:spacing w:after="120" w:before="240"/>
      </w:pPr>
      <w:r>
        <w:rPr>
          <w:rFonts w:ascii="Malgun Gothic" w:cs="Malgun Gothic" w:eastAsia="Malgun Gothic" w:hAnsi="Malgun Gothic"/>
          <w:b/>
          <w:bCs/>
          <w:color w:val="1F4E79"/>
          <w:sz w:val="25"/>
          <w:szCs w:val="25"/>
        </w:rPr>
        <w:t xml:space="preserve">2.1 사용 데이터</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600"/>
        <w:gridCol w:w="1800"/>
      </w:tblGrid>
      <w:tr>
        <w:tc>
          <w:tcPr>
            <w:tcW w:type="dxa" w:w="20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구분</w:t>
            </w:r>
          </w:p>
        </w:tc>
        <w:tc>
          <w:tcPr>
            <w:tcW w:type="dxa" w:w="36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데이터</w:t>
            </w:r>
          </w:p>
        </w:tc>
        <w:tc>
          <w:tcPr>
            <w:tcW w:type="dxa" w:w="26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출처</w:t>
            </w:r>
          </w:p>
        </w:tc>
        <w:tc>
          <w:tcPr>
            <w:tcW w:type="dxa" w:w="18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단위(최종 사용)</w:t>
            </w:r>
          </w:p>
        </w:tc>
      </w:tr>
      <w:tr>
        <w:tc>
          <w:tcPr>
            <w:tcW w:type="dxa" w:w="20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공급(대중교통)</w:t>
            </w:r>
          </w:p>
        </w:tc>
        <w:tc>
          <w:tcPr>
            <w:tcW w:type="dxa" w:w="3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전국 버스정류장 위치정보</w:t>
            </w:r>
          </w:p>
        </w:tc>
        <w:tc>
          <w:tcPr>
            <w:tcW w:type="dxa" w:w="2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국토교통부(TAGO)</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시군구</w:t>
            </w:r>
          </w:p>
        </w:tc>
      </w:tr>
      <w:tr>
        <w:tc>
          <w:tcPr>
            <w:tcW w:type="dxa" w:w="20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공급(대중교통)</w:t>
            </w:r>
          </w:p>
        </w:tc>
        <w:tc>
          <w:tcPr>
            <w:tcW w:type="dxa" w:w="3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서울시 버스정류소 위치정보</w:t>
            </w:r>
          </w:p>
        </w:tc>
        <w:tc>
          <w:tcPr>
            <w:tcW w:type="dxa" w:w="2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서울열린데이터광장</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서울 전체 1개 단위</w:t>
            </w:r>
          </w:p>
        </w:tc>
      </w:tr>
      <w:tr>
        <w:tc>
          <w:tcPr>
            <w:tcW w:type="dxa" w:w="20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인구특성</w:t>
            </w:r>
          </w:p>
        </w:tc>
        <w:tc>
          <w:tcPr>
            <w:tcW w:type="dxa" w:w="3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연령 및 성별 인구 - 읍면동</w:t>
            </w:r>
          </w:p>
        </w:tc>
        <w:tc>
          <w:tcPr>
            <w:tcW w:type="dxa" w:w="2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KOSIS(국가데이터처), 2025</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시군구</w:t>
            </w:r>
          </w:p>
        </w:tc>
      </w:tr>
      <w:tr>
        <w:tc>
          <w:tcPr>
            <w:tcW w:type="dxa" w:w="20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인구특성</w:t>
            </w:r>
          </w:p>
        </w:tc>
        <w:tc>
          <w:tcPr>
            <w:tcW w:type="dxa" w:w="3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인구, 가구 및 주택 - 읍면동</w:t>
            </w:r>
          </w:p>
        </w:tc>
        <w:tc>
          <w:tcPr>
            <w:tcW w:type="dxa" w:w="2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KOSIS(국가데이터처), 2025</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시군구</w:t>
            </w:r>
          </w:p>
        </w:tc>
      </w:tr>
      <w:tr>
        <w:tc>
          <w:tcPr>
            <w:tcW w:type="dxa" w:w="20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탄소중립</w:t>
            </w:r>
          </w:p>
        </w:tc>
        <w:tc>
          <w:tcPr>
            <w:tcW w:type="dxa" w:w="3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지역별·차종별 도로부문 온실가스 배출량</w:t>
            </w:r>
          </w:p>
        </w:tc>
        <w:tc>
          <w:tcPr>
            <w:tcW w:type="dxa" w:w="2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한국교통안전공단</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시도</w:t>
            </w:r>
          </w:p>
        </w:tc>
      </w:tr>
    </w:tbl>
    <w:p>
      <w:pPr>
        <w:spacing w:after="160" w:line="300"/>
      </w:pPr>
      <w:r>
        <w:rPr>
          <w:rFonts w:ascii="Malgun Gothic" w:cs="Malgun Gothic" w:eastAsia="Malgun Gothic" w:hAnsi="Malgun Gothic"/>
          <w:sz w:val="21"/>
          <w:szCs w:val="21"/>
        </w:rPr>
        <w:t xml:space="preserve"/>
      </w:r>
    </w:p>
    <w:p>
      <w:pPr>
        <w:pStyle w:val="Heading2"/>
        <w:spacing w:after="120" w:before="240"/>
      </w:pPr>
      <w:r>
        <w:rPr>
          <w:rFonts w:ascii="Malgun Gothic" w:cs="Malgun Gothic" w:eastAsia="Malgun Gothic" w:hAnsi="Malgun Gothic"/>
          <w:b/>
          <w:bCs/>
          <w:color w:val="1F4E79"/>
          <w:sz w:val="25"/>
          <w:szCs w:val="25"/>
        </w:rPr>
        <w:t xml:space="preserve">2.2 이동격차 스크리닝 지수 구성</w:t>
      </w:r>
    </w:p>
    <w:p>
      <w:pPr>
        <w:spacing w:after="160" w:line="300"/>
      </w:pPr>
      <w:r>
        <w:rPr>
          <w:rFonts w:ascii="Malgun Gothic" w:cs="Malgun Gothic" w:eastAsia="Malgun Gothic" w:hAnsi="Malgun Gothic"/>
          <w:sz w:val="21"/>
          <w:szCs w:val="21"/>
        </w:rPr>
        <w:t xml:space="preserve">각 세부 변수는 시군구 단위로 집계한 뒤 0~1 범위로 min-max 정규화하였고, "낮을수록 열악한" 방향의 변수는 (1 - 정규화값)으로 역변환하여 점수가 높을수록 이동격차가 심각하도록 방향을 통일하였다.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400"/>
        <w:gridCol w:w="2200"/>
      </w:tblGrid>
      <w:tr>
        <w:tc>
          <w:tcPr>
            <w:tcW w:type="dxa" w:w="22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최종 지수</w:t>
            </w:r>
          </w:p>
        </w:tc>
        <w:tc>
          <w:tcPr>
            <w:tcW w:type="dxa" w:w="22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중간 점수</w:t>
            </w:r>
          </w:p>
        </w:tc>
        <w:tc>
          <w:tcPr>
            <w:tcW w:type="dxa" w:w="34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세부 변수</w:t>
            </w:r>
          </w:p>
        </w:tc>
        <w:tc>
          <w:tcPr>
            <w:tcW w:type="dxa" w:w="22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방향/처리</w:t>
            </w:r>
          </w:p>
        </w:tc>
      </w:tr>
      <w:tr>
        <w:tc>
          <w:tcPr>
            <w:tcW w:type="dxa" w:w="22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이동격차_스크리닝지수
(3개 평균)</w:t>
            </w:r>
          </w:p>
        </w:tc>
        <w:tc>
          <w:tcPr>
            <w:tcW w:type="dxa" w:w="22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공급공백점수</w:t>
            </w:r>
          </w:p>
        </w:tc>
        <w:tc>
          <w:tcPr>
            <w:tcW w:type="dxa" w:w="3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정류장밀도
(정류장수 / 인구 1만명)</w:t>
            </w:r>
          </w:p>
        </w:tc>
        <w:tc>
          <w:tcPr>
            <w:tcW w:type="dxa" w:w="22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낮을수록 공백 큼 → 역변환(1-minmax)</w:t>
            </w:r>
          </w:p>
        </w:tc>
      </w:tr>
      <w:tr>
        <w:tc>
          <w:tcPr>
            <w:tcW w:type="dxa" w:w="22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
            </w:r>
          </w:p>
        </w:tc>
        <w:tc>
          <w:tcPr>
            <w:tcW w:type="dxa" w:w="22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인구취약성점수
(2개 평균)</w:t>
            </w:r>
          </w:p>
        </w:tc>
        <w:tc>
          <w:tcPr>
            <w:tcW w:type="dxa" w:w="3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고령인구비율 (65세 이상 / 전체인구)</w:t>
            </w:r>
          </w:p>
        </w:tc>
        <w:tc>
          <w:tcPr>
            <w:tcW w:type="dxa" w:w="22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높을수록 취약 → minmax</w:t>
            </w:r>
          </w:p>
        </w:tc>
      </w:tr>
      <w:tr>
        <w:tc>
          <w:tcPr>
            <w:tcW w:type="dxa" w:w="22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
            </w:r>
          </w:p>
        </w:tc>
        <w:tc>
          <w:tcPr>
            <w:tcW w:type="dxa" w:w="22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
            </w:r>
          </w:p>
        </w:tc>
        <w:tc>
          <w:tcPr>
            <w:tcW w:type="dxa" w:w="3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평균가구원수 (총인구 / 가구수)</w:t>
            </w:r>
          </w:p>
        </w:tc>
        <w:tc>
          <w:tcPr>
            <w:tcW w:type="dxa" w:w="22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작을수록(1인가구多) 취약 → 역변환</w:t>
            </w:r>
          </w:p>
        </w:tc>
      </w:tr>
      <w:tr>
        <w:tc>
          <w:tcPr>
            <w:tcW w:type="dxa" w:w="22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
            </w:r>
          </w:p>
        </w:tc>
        <w:tc>
          <w:tcPr>
            <w:tcW w:type="dxa" w:w="22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탄소점수</w:t>
            </w:r>
          </w:p>
        </w:tc>
        <w:tc>
          <w:tcPr>
            <w:tcW w:type="dxa" w:w="3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인구당 배출량
(시도 총배출량 / 인구 1만명)</w:t>
            </w:r>
          </w:p>
        </w:tc>
        <w:tc>
          <w:tcPr>
            <w:tcW w:type="dxa" w:w="22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높을수록 탄소부담 큼 → minmax</w:t>
            </w:r>
          </w:p>
        </w:tc>
      </w:tr>
    </w:tbl>
    <w:p>
      <w:pPr>
        <w:spacing w:after="160" w:line="300"/>
      </w:pPr>
      <w:r>
        <w:rPr>
          <w:rFonts w:ascii="Malgun Gothic" w:cs="Malgun Gothic" w:eastAsia="Malgun Gothic" w:hAnsi="Malgun Gothic"/>
          <w:sz w:val="21"/>
          <w:szCs w:val="21"/>
        </w:rPr>
        <w:t xml:space="preserve"/>
      </w:r>
    </w:p>
    <w:p>
      <w:pPr>
        <w:pStyle w:val="Heading1"/>
        <w:spacing w:after="160" w:before="320"/>
      </w:pPr>
      <w:r>
        <w:rPr>
          <w:rFonts w:ascii="Malgun Gothic" w:cs="Malgun Gothic" w:eastAsia="Malgun Gothic" w:hAnsi="Malgun Gothic"/>
          <w:b/>
          <w:bCs/>
          <w:sz w:val="30"/>
          <w:szCs w:val="30"/>
        </w:rPr>
        <w:t xml:space="preserve">3. 데이터 정제 과정에서 확인된 이슈</w:t>
      </w:r>
    </w:p>
    <w:p>
      <w:pPr>
        <w:spacing w:after="160" w:line="300"/>
      </w:pPr>
      <w:r>
        <w:rPr>
          <w:rFonts w:ascii="Malgun Gothic" w:cs="Malgun Gothic" w:eastAsia="Malgun Gothic" w:hAnsi="Malgun Gothic"/>
          <w:sz w:val="21"/>
          <w:szCs w:val="21"/>
        </w:rPr>
        <w:t xml:space="preserve">원자료 처리 과정에서 아래와 같은 데이터 품질 이슈를 확인하고 각각 보정하였다.</w:t>
      </w:r>
    </w:p>
    <w:p>
      <w:pPr>
        <w:pStyle w:val="ListParagraph"/>
        <w:numPr>
          <w:ilvl w:val="0"/>
          <w:numId w:val="1"/>
        </w:numPr>
        <w:spacing w:after="100" w:line="280"/>
      </w:pPr>
      <w:r>
        <w:rPr>
          <w:rFonts w:ascii="Malgun Gothic" w:cs="Malgun Gothic" w:eastAsia="Malgun Gothic" w:hAnsi="Malgun Gothic"/>
          <w:sz w:val="21"/>
          <w:szCs w:val="21"/>
        </w:rPr>
        <w:t xml:space="preserve">행정구역 계층 파싱: KOSIS 원자료는 지역 계층(시도→시군구→읍면동)이 별도 컬럼이 아니라 행 순서로만 표현되어 있고, 특히 "동부/읍부/면부" 도농 구분 행이 전국 하위뿐 아니라 매 시도 하위에도 반복 등장하여, 이를 잘못 처리할 경우 처리 중이던 시도 정보가 유실되어 시군구 대부분이 누락되는 문제가 있었다. 이를 처리하는 파서(build_sigungu_keys)를 별도로 구현하여 해결하였다.</w:t>
      </w:r>
    </w:p>
    <w:p>
      <w:pPr>
        <w:pStyle w:val="ListParagraph"/>
        <w:numPr>
          <w:ilvl w:val="0"/>
          <w:numId w:val="1"/>
        </w:numPr>
        <w:spacing w:after="100" w:line="280"/>
      </w:pPr>
      <w:r>
        <w:rPr>
          <w:rFonts w:ascii="Malgun Gothic" w:cs="Malgun Gothic" w:eastAsia="Malgun Gothic" w:hAnsi="Malgun Gothic"/>
          <w:sz w:val="21"/>
          <w:szCs w:val="21"/>
        </w:rPr>
        <w:t xml:space="preserve">특례시 처리: 수원·성남·안양·안산·고양·용인·청주·천안·전주·포항·창원·부천 등 구(區)를 둔 특례시는 하위 구 데이터를 제외하고 시 전체 합계로 1개 단위 처리하였다.</w:t>
      </w:r>
    </w:p>
    <w:p>
      <w:pPr>
        <w:pStyle w:val="ListParagraph"/>
        <w:numPr>
          <w:ilvl w:val="0"/>
          <w:numId w:val="1"/>
        </w:numPr>
        <w:spacing w:after="100" w:line="280"/>
      </w:pPr>
      <w:r>
        <w:rPr>
          <w:rFonts w:ascii="Malgun Gothic" w:cs="Malgun Gothic" w:eastAsia="Malgun Gothic" w:hAnsi="Malgun Gothic"/>
          <w:sz w:val="21"/>
          <w:szCs w:val="21"/>
        </w:rPr>
        <w:t xml:space="preserve">행정구역 개편 반영 차이: 정류장 데이터(국토교통부)가 마산시·진해시(현 창원시 편입), 청원군(현 청주시 편입), 연기군(현 세종시 편입) 등 옛 행정구역명을 사용하는 경우가 있어, 인구 데이터와 매칭되지 않는 15개 행이 발생하였다. 이는 인구 데이터가 없는 행이므로 지수 계산 전 제거하였다.</w:t>
      </w:r>
    </w:p>
    <w:p>
      <w:pPr>
        <w:pStyle w:val="ListParagraph"/>
        <w:numPr>
          <w:ilvl w:val="0"/>
          <w:numId w:val="1"/>
        </w:numPr>
        <w:spacing w:after="100" w:line="280"/>
      </w:pPr>
      <w:r>
        <w:rPr>
          <w:rFonts w:ascii="Malgun Gothic" w:cs="Malgun Gothic" w:eastAsia="Malgun Gothic" w:hAnsi="Malgun Gothic"/>
          <w:sz w:val="21"/>
          <w:szCs w:val="21"/>
        </w:rPr>
        <w:t xml:space="preserve">서울 자치구 제외: 서울시 버스정류소 데이터는 자치구별 구분 없이 서울 전체 1개 값으로만 제공되어, 인구 데이터 기준 서울 25개 자치구와 결합 시 전 자치구의 정류장수가 0으로 처리되며 공급공백점수가 인위적으로 최댓값이 되는 문제가 발생하였다. 서울은 이미 지하철·버스망이 촘촘하여 DRT·마을버스 우선배치 논의의 실익도 낮으므로, 이번 스크리닝 대상에서 제외하였다.</w:t>
      </w:r>
    </w:p>
    <w:p>
      <w:pPr>
        <w:spacing w:after="160" w:line="300"/>
      </w:pPr>
      <w:r>
        <w:rPr>
          <w:rFonts w:ascii="Malgun Gothic" w:cs="Malgun Gothic" w:eastAsia="Malgun Gothic" w:hAnsi="Malgun Gothic"/>
          <w:sz w:val="21"/>
          <w:szCs w:val="21"/>
        </w:rPr>
        <w:t xml:space="preserve">위 정제를 거쳐 최종 분석 대상은 전국 204개 시군구(서울 제외)이다.</w:t>
      </w:r>
    </w:p>
    <w:p>
      <w:pPr>
        <w:pStyle w:val="Heading1"/>
        <w:spacing w:after="160" w:before="320"/>
      </w:pPr>
      <w:r>
        <w:rPr>
          <w:rFonts w:ascii="Malgun Gothic" w:cs="Malgun Gothic" w:eastAsia="Malgun Gothic" w:hAnsi="Malgun Gothic"/>
          <w:b/>
          <w:bCs/>
          <w:sz w:val="30"/>
          <w:szCs w:val="30"/>
        </w:rPr>
        <w:t xml:space="preserve">4. 주요 결과</w:t>
      </w:r>
    </w:p>
    <w:p>
      <w:pPr>
        <w:pStyle w:val="Heading2"/>
        <w:spacing w:after="120" w:before="240"/>
      </w:pPr>
      <w:r>
        <w:rPr>
          <w:rFonts w:ascii="Malgun Gothic" w:cs="Malgun Gothic" w:eastAsia="Malgun Gothic" w:hAnsi="Malgun Gothic"/>
          <w:b/>
          <w:bCs/>
          <w:color w:val="1F4E79"/>
          <w:sz w:val="25"/>
          <w:szCs w:val="25"/>
        </w:rPr>
        <w:t xml:space="preserve">4.1 이동격차 스크리닝 지수 상위 20개 시군구</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800"/>
        <w:gridCol w:w="1900"/>
        <w:gridCol w:w="1400"/>
        <w:gridCol w:w="1600"/>
      </w:tblGrid>
      <w:tr>
        <w:tc>
          <w:tcPr>
            <w:tcW w:type="dxa" w:w="7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순위</w:t>
            </w:r>
          </w:p>
        </w:tc>
        <w:tc>
          <w:tcPr>
            <w:tcW w:type="dxa" w:w="2600"/>
            <w:shd w:fill="D9E2F3" w:val="clear"/>
            <w:tcMar>
              <w:top w:type="dxa" w:w="60"/>
              <w:left w:type="dxa" w:w="100"/>
              <w:bottom w:type="dxa" w:w="60"/>
              <w:right w:type="dxa" w:w="100"/>
            </w:tcMar>
          </w:tcPr>
          <w:p>
            <w:pPr>
              <w:jc w:val="left"/>
            </w:pPr>
            <w:r>
              <w:rPr>
                <w:rFonts w:ascii="Malgun Gothic" w:cs="Malgun Gothic" w:eastAsia="Malgun Gothic" w:hAnsi="Malgun Gothic"/>
                <w:b/>
                <w:bCs/>
                <w:sz w:val="19"/>
                <w:szCs w:val="19"/>
              </w:rPr>
              <w:t xml:space="preserve">시군구</w:t>
            </w:r>
          </w:p>
        </w:tc>
        <w:tc>
          <w:tcPr>
            <w:tcW w:type="dxa" w:w="18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공급공백점수</w:t>
            </w:r>
          </w:p>
        </w:tc>
        <w:tc>
          <w:tcPr>
            <w:tcW w:type="dxa" w:w="19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인구취약성점수</w:t>
            </w:r>
          </w:p>
        </w:tc>
        <w:tc>
          <w:tcPr>
            <w:tcW w:type="dxa" w:w="14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탄소점수</w:t>
            </w:r>
          </w:p>
        </w:tc>
        <w:tc>
          <w:tcPr>
            <w:tcW w:type="dxa" w:w="16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종합지수</w:t>
            </w:r>
          </w:p>
        </w:tc>
      </w:tr>
      <w:tr>
        <w:tc>
          <w:tcPr>
            <w:tcW w:type="dxa" w:w="7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w:t>
            </w:r>
          </w:p>
        </w:tc>
        <w:tc>
          <w:tcPr>
            <w:tcW w:type="dxa" w:w="2600"/>
            <w:shd w:fill="FCE4D6" w:val="clear"/>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인천광역시 옹진군</w:t>
            </w:r>
          </w:p>
        </w:tc>
        <w:tc>
          <w:tcPr>
            <w:tcW w:type="dxa" w:w="18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1.000</w:t>
            </w:r>
          </w:p>
        </w:tc>
        <w:tc>
          <w:tcPr>
            <w:tcW w:type="dxa" w:w="19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0.765</w:t>
            </w:r>
          </w:p>
        </w:tc>
        <w:tc>
          <w:tcPr>
            <w:tcW w:type="dxa" w:w="14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0.637</w:t>
            </w:r>
          </w:p>
        </w:tc>
        <w:tc>
          <w:tcPr>
            <w:tcW w:type="dxa" w:w="16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0.801</w:t>
            </w:r>
          </w:p>
        </w:tc>
      </w:tr>
      <w:tr>
        <w:tc>
          <w:tcPr>
            <w:tcW w:type="dxa" w:w="7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2</w:t>
            </w:r>
          </w:p>
        </w:tc>
        <w:tc>
          <w:tcPr>
            <w:tcW w:type="dxa" w:w="2600"/>
            <w:shd w:fill="FCE4D6" w:val="clear"/>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대구광역시 군위군</w:t>
            </w:r>
          </w:p>
        </w:tc>
        <w:tc>
          <w:tcPr>
            <w:tcW w:type="dxa" w:w="18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0.947</w:t>
            </w:r>
          </w:p>
        </w:tc>
        <w:tc>
          <w:tcPr>
            <w:tcW w:type="dxa" w:w="19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0.910</w:t>
            </w:r>
          </w:p>
        </w:tc>
        <w:tc>
          <w:tcPr>
            <w:tcW w:type="dxa" w:w="14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0.472</w:t>
            </w:r>
          </w:p>
        </w:tc>
        <w:tc>
          <w:tcPr>
            <w:tcW w:type="dxa" w:w="16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0.776</w:t>
            </w:r>
          </w:p>
        </w:tc>
      </w:tr>
      <w:tr>
        <w:tc>
          <w:tcPr>
            <w:tcW w:type="dxa" w:w="7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3</w:t>
            </w:r>
          </w:p>
        </w:tc>
        <w:tc>
          <w:tcPr>
            <w:tcW w:type="dxa" w:w="2600"/>
            <w:shd w:fill="FCE4D6" w:val="clear"/>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경기도 연천군</w:t>
            </w:r>
          </w:p>
        </w:tc>
        <w:tc>
          <w:tcPr>
            <w:tcW w:type="dxa" w:w="18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0.639</w:t>
            </w:r>
          </w:p>
        </w:tc>
        <w:tc>
          <w:tcPr>
            <w:tcW w:type="dxa" w:w="19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0.630</w:t>
            </w:r>
          </w:p>
        </w:tc>
        <w:tc>
          <w:tcPr>
            <w:tcW w:type="dxa" w:w="14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1.000</w:t>
            </w:r>
          </w:p>
        </w:tc>
        <w:tc>
          <w:tcPr>
            <w:tcW w:type="dxa" w:w="16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0.756</w:t>
            </w:r>
          </w:p>
        </w:tc>
      </w:tr>
      <w:tr>
        <w:tc>
          <w:tcPr>
            <w:tcW w:type="dxa" w:w="7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4</w:t>
            </w:r>
          </w:p>
        </w:tc>
        <w:tc>
          <w:tcPr>
            <w:tcW w:type="dxa" w:w="2600"/>
            <w:shd w:fill="FCE4D6" w:val="clear"/>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부산광역시 중구</w:t>
            </w:r>
          </w:p>
        </w:tc>
        <w:tc>
          <w:tcPr>
            <w:tcW w:type="dxa" w:w="18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1.000</w:t>
            </w:r>
          </w:p>
        </w:tc>
        <w:tc>
          <w:tcPr>
            <w:tcW w:type="dxa" w:w="19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0.785</w:t>
            </w:r>
          </w:p>
        </w:tc>
        <w:tc>
          <w:tcPr>
            <w:tcW w:type="dxa" w:w="14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0.372</w:t>
            </w:r>
          </w:p>
        </w:tc>
        <w:tc>
          <w:tcPr>
            <w:tcW w:type="dxa" w:w="16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0.719</w:t>
            </w:r>
          </w:p>
        </w:tc>
      </w:tr>
      <w:tr>
        <w:tc>
          <w:tcPr>
            <w:tcW w:type="dxa" w:w="7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5</w:t>
            </w:r>
          </w:p>
        </w:tc>
        <w:tc>
          <w:tcPr>
            <w:tcW w:type="dxa" w:w="2600"/>
            <w:shd w:fill="FCE4D6" w:val="clear"/>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경상북도 울릉군</w:t>
            </w:r>
          </w:p>
        </w:tc>
        <w:tc>
          <w:tcPr>
            <w:tcW w:type="dxa" w:w="18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0.715</w:t>
            </w:r>
          </w:p>
        </w:tc>
        <w:tc>
          <w:tcPr>
            <w:tcW w:type="dxa" w:w="19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0.707</w:t>
            </w:r>
          </w:p>
        </w:tc>
        <w:tc>
          <w:tcPr>
            <w:tcW w:type="dxa" w:w="14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0.732</w:t>
            </w:r>
          </w:p>
        </w:tc>
        <w:tc>
          <w:tcPr>
            <w:tcW w:type="dxa" w:w="1600"/>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0.718</w:t>
            </w:r>
          </w:p>
        </w:tc>
      </w:tr>
      <w:tr>
        <w:tc>
          <w:tcPr>
            <w:tcW w:type="dxa" w:w="7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6</w:t>
            </w:r>
          </w:p>
        </w:tc>
        <w:tc>
          <w:tcPr>
            <w:tcW w:type="dxa" w:w="2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경기도 가평군</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0.658</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0.630</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0.683</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0.657</w:t>
            </w:r>
          </w:p>
        </w:tc>
      </w:tr>
      <w:tr>
        <w:tc>
          <w:tcPr>
            <w:tcW w:type="dxa" w:w="7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7</w:t>
            </w:r>
          </w:p>
        </w:tc>
        <w:tc>
          <w:tcPr>
            <w:tcW w:type="dxa" w:w="2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전라남도 보성군</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1.000</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0.821</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0.104</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0.642</w:t>
            </w:r>
          </w:p>
        </w:tc>
      </w:tr>
      <w:tr>
        <w:tc>
          <w:tcPr>
            <w:tcW w:type="dxa" w:w="7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8</w:t>
            </w:r>
          </w:p>
        </w:tc>
        <w:tc>
          <w:tcPr>
            <w:tcW w:type="dxa" w:w="2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전라남도 강진군</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1.000</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0.772</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0.123</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0.632</w:t>
            </w:r>
          </w:p>
        </w:tc>
      </w:tr>
      <w:tr>
        <w:tc>
          <w:tcPr>
            <w:tcW w:type="dxa" w:w="7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9</w:t>
            </w:r>
          </w:p>
        </w:tc>
        <w:tc>
          <w:tcPr>
            <w:tcW w:type="dxa" w:w="2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인천광역시 강화군</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1.000</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0.695</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0.177</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0.624</w:t>
            </w:r>
          </w:p>
        </w:tc>
      </w:tr>
      <w:tr>
        <w:tc>
          <w:tcPr>
            <w:tcW w:type="dxa" w:w="7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10</w:t>
            </w:r>
          </w:p>
        </w:tc>
        <w:tc>
          <w:tcPr>
            <w:tcW w:type="dxa" w:w="2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경기도 동두천시</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0.917</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0.494</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0.458</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0.623</w:t>
            </w:r>
          </w:p>
        </w:tc>
      </w:tr>
      <w:tr>
        <w:tc>
          <w:tcPr>
            <w:tcW w:type="dxa" w:w="7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11</w:t>
            </w:r>
          </w:p>
        </w:tc>
        <w:tc>
          <w:tcPr>
            <w:tcW w:type="dxa" w:w="2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경상남도 산청군</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0.748</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0.838</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0.254</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0.614</w:t>
            </w:r>
          </w:p>
        </w:tc>
      </w:tr>
      <w:tr>
        <w:tc>
          <w:tcPr>
            <w:tcW w:type="dxa" w:w="7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12</w:t>
            </w:r>
          </w:p>
        </w:tc>
        <w:tc>
          <w:tcPr>
            <w:tcW w:type="dxa" w:w="2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부산광역시 동구</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1.000</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0.666</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0.170</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0.612</w:t>
            </w:r>
          </w:p>
        </w:tc>
      </w:tr>
      <w:tr>
        <w:tc>
          <w:tcPr>
            <w:tcW w:type="dxa" w:w="7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13</w:t>
            </w:r>
          </w:p>
        </w:tc>
        <w:tc>
          <w:tcPr>
            <w:tcW w:type="dxa" w:w="2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강원특별자치도 정선군</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0.964</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0.755</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0.092</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0.604</w:t>
            </w:r>
          </w:p>
        </w:tc>
      </w:tr>
      <w:tr>
        <w:tc>
          <w:tcPr>
            <w:tcW w:type="dxa" w:w="7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14</w:t>
            </w:r>
          </w:p>
        </w:tc>
        <w:tc>
          <w:tcPr>
            <w:tcW w:type="dxa" w:w="2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강원특별자치도 평창군</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0.967</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0.752</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0.077</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0.599</w:t>
            </w:r>
          </w:p>
        </w:tc>
      </w:tr>
      <w:tr>
        <w:tc>
          <w:tcPr>
            <w:tcW w:type="dxa" w:w="7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15</w:t>
            </w:r>
          </w:p>
        </w:tc>
        <w:tc>
          <w:tcPr>
            <w:tcW w:type="dxa" w:w="2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부산광역시 영도구</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1.000</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0.632</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0.136</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0.589</w:t>
            </w:r>
          </w:p>
        </w:tc>
      </w:tr>
      <w:tr>
        <w:tc>
          <w:tcPr>
            <w:tcW w:type="dxa" w:w="7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16</w:t>
            </w:r>
          </w:p>
        </w:tc>
        <w:tc>
          <w:tcPr>
            <w:tcW w:type="dxa" w:w="2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부산광역시 서구</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1.000</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0.624</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0.139</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0.588</w:t>
            </w:r>
          </w:p>
        </w:tc>
      </w:tr>
      <w:tr>
        <w:tc>
          <w:tcPr>
            <w:tcW w:type="dxa" w:w="7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17</w:t>
            </w:r>
          </w:p>
        </w:tc>
        <w:tc>
          <w:tcPr>
            <w:tcW w:type="dxa" w:w="2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강원특별자치도 고성군</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1.000</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0.648</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0.109</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0.586</w:t>
            </w:r>
          </w:p>
        </w:tc>
      </w:tr>
      <w:tr>
        <w:tc>
          <w:tcPr>
            <w:tcW w:type="dxa" w:w="7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18</w:t>
            </w:r>
          </w:p>
        </w:tc>
        <w:tc>
          <w:tcPr>
            <w:tcW w:type="dxa" w:w="2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강원특별자치도 횡성군</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0.991</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0.691</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0.065</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0.582</w:t>
            </w:r>
          </w:p>
        </w:tc>
      </w:tr>
      <w:tr>
        <w:tc>
          <w:tcPr>
            <w:tcW w:type="dxa" w:w="7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19</w:t>
            </w:r>
          </w:p>
        </w:tc>
        <w:tc>
          <w:tcPr>
            <w:tcW w:type="dxa" w:w="2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인천광역시 동구</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1.000</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0.522</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0.212</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0.578</w:t>
            </w:r>
          </w:p>
        </w:tc>
      </w:tr>
      <w:tr>
        <w:tc>
          <w:tcPr>
            <w:tcW w:type="dxa" w:w="7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20</w:t>
            </w:r>
          </w:p>
        </w:tc>
        <w:tc>
          <w:tcPr>
            <w:tcW w:type="dxa" w:w="2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대구광역시 남구</w:t>
            </w:r>
          </w:p>
        </w:tc>
        <w:tc>
          <w:tcPr>
            <w:tcW w:type="dxa" w:w="18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1.000</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0.658</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0.071</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0.576</w:t>
            </w:r>
          </w:p>
        </w:tc>
      </w:tr>
    </w:tbl>
    <w:p>
      <w:pPr>
        <w:spacing w:after="160" w:line="300"/>
      </w:pPr>
      <w:r>
        <w:rPr>
          <w:rFonts w:ascii="Malgun Gothic" w:cs="Malgun Gothic" w:eastAsia="Malgun Gothic" w:hAnsi="Malgun Gothic"/>
          <w:sz w:val="21"/>
          <w:szCs w:val="21"/>
        </w:rPr>
        <w:t xml:space="preserve"/>
      </w:r>
    </w:p>
    <w:p>
      <w:pPr>
        <w:jc w:val="center"/>
      </w:pPr>
      <w:r>
        <w:drawing>
          <wp:inline distT="0" distB="0" distL="0" distR="0">
            <wp:extent cx="447675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571875"/>
                    </a:xfrm>
                    <a:prstGeom prst="rect">
                      <a:avLst/>
                    </a:prstGeom>
                  </pic:spPr>
                </pic:pic>
              </a:graphicData>
            </a:graphic>
          </wp:inline>
        </w:drawing>
      </w:r>
    </w:p>
    <w:p>
      <w:pPr>
        <w:spacing w:after="240" w:before="80"/>
        <w:jc w:val="center"/>
      </w:pPr>
      <w:r>
        <w:rPr>
          <w:rFonts w:ascii="Malgun Gothic" w:cs="Malgun Gothic" w:eastAsia="Malgun Gothic" w:hAnsi="Malgun Gothic"/>
          <w:i/>
          <w:iCs/>
          <w:color w:val="555555"/>
          <w:sz w:val="18"/>
          <w:szCs w:val="18"/>
        </w:rPr>
        <w:t xml:space="preserve">[그림 1] 이동격차 스크리닝 지수 상위 20개 시군구 (서울 제외)</w:t>
      </w:r>
    </w:p>
    <w:p>
      <w:pPr>
        <w:pStyle w:val="Heading2"/>
        <w:spacing w:after="120" w:before="240"/>
      </w:pPr>
      <w:r>
        <w:rPr>
          <w:rFonts w:ascii="Malgun Gothic" w:cs="Malgun Gothic" w:eastAsia="Malgun Gothic" w:hAnsi="Malgun Gothic"/>
          <w:b/>
          <w:bCs/>
          <w:color w:val="1F4E79"/>
          <w:sz w:val="25"/>
          <w:szCs w:val="25"/>
        </w:rPr>
        <w:t xml:space="preserve">4.2 공급공백 × 인구취약성 분포</w:t>
      </w:r>
    </w:p>
    <w:p>
      <w:pPr>
        <w:spacing w:after="160" w:line="300"/>
      </w:pPr>
      <w:r>
        <w:rPr>
          <w:rFonts w:ascii="Malgun Gothic" w:cs="Malgun Gothic" w:eastAsia="Malgun Gothic" w:hAnsi="Malgun Gothic"/>
          <w:sz w:val="21"/>
          <w:szCs w:val="21"/>
        </w:rPr>
        <w:t xml:space="preserve">전체 204개 시군구를 공급공백점수(x축)와 인구취약성점수(y축)에 배치하고, 점 크기는 탄소점수, 색은 종합지수를 나타낸 산점도이다. 우상단(공급공백·인구취약성 모두 높은 영역)에 위치하면서 점 크기가 클수록(탄소부담도 높을수록) 종합지수가 높게 나타난다.</w:t>
      </w:r>
    </w:p>
    <w:p>
      <w:pPr>
        <w:jc w:val="center"/>
      </w:pPr>
      <w:r>
        <w:drawing>
          <wp:inline distT="0" distB="0" distL="0" distR="0">
            <wp:extent cx="4286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3486150"/>
                    </a:xfrm>
                    <a:prstGeom prst="rect">
                      <a:avLst/>
                    </a:prstGeom>
                  </pic:spPr>
                </pic:pic>
              </a:graphicData>
            </a:graphic>
          </wp:inline>
        </w:drawing>
      </w:r>
    </w:p>
    <w:p>
      <w:pPr>
        <w:spacing w:after="240" w:before="80"/>
        <w:jc w:val="center"/>
      </w:pPr>
      <w:r>
        <w:rPr>
          <w:rFonts w:ascii="Malgun Gothic" w:cs="Malgun Gothic" w:eastAsia="Malgun Gothic" w:hAnsi="Malgun Gothic"/>
          <w:i/>
          <w:iCs/>
          <w:color w:val="555555"/>
          <w:sz w:val="18"/>
          <w:szCs w:val="18"/>
        </w:rPr>
        <w:t xml:space="preserve">[그림 2] 공급공백점수 × 인구취약성점수 산점도 (점 크기=탄소점수, 색=종합지수)</w:t>
      </w:r>
    </w:p>
    <w:p>
      <w:pPr>
        <w:pStyle w:val="Heading2"/>
        <w:spacing w:after="120" w:before="240"/>
      </w:pPr>
      <w:r>
        <w:rPr>
          <w:rFonts w:ascii="Malgun Gothic" w:cs="Malgun Gothic" w:eastAsia="Malgun Gothic" w:hAnsi="Malgun Gothic"/>
          <w:b/>
          <w:bCs/>
          <w:color w:val="1F4E79"/>
          <w:sz w:val="25"/>
          <w:szCs w:val="25"/>
        </w:rPr>
        <w:t xml:space="preserve">4.3 상위 지역의 유형 분석</w:t>
      </w:r>
    </w:p>
    <w:p>
      <w:pPr>
        <w:spacing w:after="160" w:line="300"/>
      </w:pPr>
      <w:r>
        <w:rPr>
          <w:rFonts w:ascii="Malgun Gothic" w:cs="Malgun Gothic" w:eastAsia="Malgun Gothic" w:hAnsi="Malgun Gothic"/>
          <w:sz w:val="21"/>
          <w:szCs w:val="21"/>
        </w:rPr>
        <w:t xml:space="preserve">상위 20개 지역은 크게 두 가지 유형으로 뚜렷하게 구분된다.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800"/>
      </w:tblGrid>
      <w:tr>
        <w:tc>
          <w:tcPr>
            <w:tcW w:type="dxa" w:w="22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유형</w:t>
            </w:r>
          </w:p>
        </w:tc>
        <w:tc>
          <w:tcPr>
            <w:tcW w:type="dxa" w:w="10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개수</w:t>
            </w:r>
          </w:p>
        </w:tc>
        <w:tc>
          <w:tcPr>
            <w:tcW w:type="dxa" w:w="6800"/>
            <w:shd w:fill="D9E2F3" w:val="clear"/>
            <w:tcMar>
              <w:top w:type="dxa" w:w="60"/>
              <w:left w:type="dxa" w:w="100"/>
              <w:bottom w:type="dxa" w:w="60"/>
              <w:right w:type="dxa" w:w="100"/>
            </w:tcMar>
          </w:tcPr>
          <w:p>
            <w:pPr>
              <w:jc w:val="left"/>
            </w:pPr>
            <w:r>
              <w:rPr>
                <w:rFonts w:ascii="Malgun Gothic" w:cs="Malgun Gothic" w:eastAsia="Malgun Gothic" w:hAnsi="Malgun Gothic"/>
                <w:b/>
                <w:bCs/>
                <w:sz w:val="19"/>
                <w:szCs w:val="19"/>
              </w:rPr>
              <w:t xml:space="preserve">해당 지역</w:t>
            </w:r>
          </w:p>
        </w:tc>
      </w:tr>
      <w:tr>
        <w:tc>
          <w:tcPr>
            <w:tcW w:type="dxa" w:w="22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농산어촌형 군(郡)</w:t>
            </w:r>
          </w:p>
        </w:tc>
        <w:tc>
          <w:tcPr>
            <w:tcW w:type="dxa" w:w="10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13</w:t>
            </w:r>
          </w:p>
        </w:tc>
        <w:tc>
          <w:tcPr>
            <w:tcW w:type="dxa" w:w="68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옹진군, 군위군, 연천군, 울릉군, 가평군, 보성군, 강진군, 강화군, 산청군, 정선군, 평창군, 고성군, 횡성군</w:t>
            </w:r>
          </w:p>
        </w:tc>
      </w:tr>
      <w:tr>
        <w:tc>
          <w:tcPr>
            <w:tcW w:type="dxa" w:w="22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원도심 노후 구(區)</w:t>
            </w:r>
          </w:p>
        </w:tc>
        <w:tc>
          <w:tcPr>
            <w:tcW w:type="dxa" w:w="10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6</w:t>
            </w:r>
          </w:p>
        </w:tc>
        <w:tc>
          <w:tcPr>
            <w:tcW w:type="dxa" w:w="68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부산 중구·동구·영도구·서구, 인천 동구, 대구 남구</w:t>
            </w:r>
          </w:p>
        </w:tc>
      </w:tr>
      <w:tr>
        <w:tc>
          <w:tcPr>
            <w:tcW w:type="dxa" w:w="22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접경/구도심 시(市)</w:t>
            </w:r>
          </w:p>
        </w:tc>
        <w:tc>
          <w:tcPr>
            <w:tcW w:type="dxa" w:w="10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1</w:t>
            </w:r>
          </w:p>
        </w:tc>
        <w:tc>
          <w:tcPr>
            <w:tcW w:type="dxa" w:w="68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동두천시</w:t>
            </w:r>
          </w:p>
        </w:tc>
      </w:tr>
    </w:tbl>
    <w:p>
      <w:pPr>
        <w:spacing w:after="160" w:line="300"/>
      </w:pPr>
      <w:r>
        <w:rPr>
          <w:rFonts w:ascii="Malgun Gothic" w:cs="Malgun Gothic" w:eastAsia="Malgun Gothic" w:hAnsi="Malgun Gothic"/>
          <w:sz w:val="21"/>
          <w:szCs w:val="21"/>
        </w:rPr>
        <w:t xml:space="preserve"/>
      </w:r>
    </w:p>
    <w:p>
      <w:pPr>
        <w:spacing w:after="160" w:line="300"/>
      </w:pPr>
      <w:r>
        <w:rPr>
          <w:rFonts w:ascii="Malgun Gothic" w:cs="Malgun Gothic" w:eastAsia="Malgun Gothic" w:hAnsi="Malgun Gothic"/>
          <w:sz w:val="21"/>
          <w:szCs w:val="21"/>
        </w:rPr>
        <w:t xml:space="preserve">농산어촌형 군 지역(13곳)은 낮은 인구밀도로 인한 정류장밀도 저하와 고령인구비율 상승이 함께 나타나는 전형적인 교통복지 사각지대이며, 원도심 노후 구(6곳)는 인구 감소·고령화가 진행 중인 대도시 구도심으로 대중교통 공급 자체는 상대적으로 나은 편이나 소규모가구·고령인구 비중이 높아 인구취약성점수가 높게 나타난 경우이다. 이 둘은 필요한 교통수단의 성격이 다를 수 있어(전자는 광역·군 단위 마을버스, 후자는 도심 내 세밀한 순환형 DRT 등), 후속 설계 단계에서 구분하여 접근할 필요가 있다.</w:t>
      </w:r>
    </w:p>
    <w:p>
      <w:pPr>
        <w:spacing w:after="160" w:line="300"/>
      </w:pPr>
      <w:r>
        <w:rPr>
          <w:rFonts w:ascii="Malgun Gothic" w:cs="Malgun Gothic" w:eastAsia="Malgun Gothic" w:hAnsi="Malgun Gothic"/>
          <w:sz w:val="21"/>
          <w:szCs w:val="21"/>
        </w:rPr>
        <w:t xml:space="preserve"/>
      </w:r>
    </w:p>
    <w:p>
      <w:pPr>
        <w:spacing w:after="160" w:line="300"/>
      </w:pPr>
      <w:r>
        <w:rPr>
          <w:rFonts w:ascii="Malgun Gothic" w:cs="Malgun Gothic" w:eastAsia="Malgun Gothic" w:hAnsi="Malgun Gothic"/>
          <w:sz w:val="21"/>
          <w:szCs w:val="21"/>
        </w:rPr>
        <w:t xml:space="preserve">시도별로는 아래와 같이 강원특별자치도와 부산광역시가 각 4곳으로 가장 많이 상위 20위 안에 포함되었다.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c>
          <w:tcPr>
            <w:tcW w:type="dxa" w:w="3400"/>
            <w:shd w:fill="D9E2F3" w:val="clear"/>
            <w:tcMar>
              <w:top w:type="dxa" w:w="60"/>
              <w:left w:type="dxa" w:w="100"/>
              <w:bottom w:type="dxa" w:w="60"/>
              <w:right w:type="dxa" w:w="100"/>
            </w:tcMar>
          </w:tcPr>
          <w:p>
            <w:pPr>
              <w:jc w:val="center"/>
            </w:pPr>
            <w:r>
              <w:rPr>
                <w:rFonts w:ascii="Malgun Gothic" w:cs="Malgun Gothic" w:eastAsia="Malgun Gothic" w:hAnsi="Malgun Gothic"/>
                <w:b/>
                <w:bCs/>
                <w:sz w:val="19"/>
                <w:szCs w:val="19"/>
              </w:rPr>
              <w:t xml:space="preserve">시도</w:t>
            </w:r>
          </w:p>
        </w:tc>
        <w:tc>
          <w:tcPr>
            <w:tcW w:type="dxa" w:w="6600"/>
            <w:shd w:fill="D9E2F3" w:val="clear"/>
            <w:tcMar>
              <w:top w:type="dxa" w:w="60"/>
              <w:left w:type="dxa" w:w="100"/>
              <w:bottom w:type="dxa" w:w="60"/>
              <w:right w:type="dxa" w:w="100"/>
            </w:tcMar>
          </w:tcPr>
          <w:p>
            <w:pPr>
              <w:jc w:val="left"/>
            </w:pPr>
            <w:r>
              <w:rPr>
                <w:rFonts w:ascii="Malgun Gothic" w:cs="Malgun Gothic" w:eastAsia="Malgun Gothic" w:hAnsi="Malgun Gothic"/>
                <w:b/>
                <w:bCs/>
                <w:sz w:val="19"/>
                <w:szCs w:val="19"/>
              </w:rPr>
              <w:t xml:space="preserve">상위 20 내 지역 수</w:t>
            </w:r>
          </w:p>
        </w:tc>
      </w:tr>
      <w:tr>
        <w:tc>
          <w:tcPr>
            <w:tcW w:type="dxa" w:w="3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부산광역시</w:t>
            </w:r>
          </w:p>
        </w:tc>
        <w:tc>
          <w:tcPr>
            <w:tcW w:type="dxa" w:w="6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4 (중구, 동구, 영도구, 서구)</w:t>
            </w:r>
          </w:p>
        </w:tc>
      </w:tr>
      <w:tr>
        <w:tc>
          <w:tcPr>
            <w:tcW w:type="dxa" w:w="3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강원특별자치도</w:t>
            </w:r>
          </w:p>
        </w:tc>
        <w:tc>
          <w:tcPr>
            <w:tcW w:type="dxa" w:w="6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4 (정선군, 평창군, 고성군, 횡성군)</w:t>
            </w:r>
          </w:p>
        </w:tc>
      </w:tr>
      <w:tr>
        <w:tc>
          <w:tcPr>
            <w:tcW w:type="dxa" w:w="3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인천광역시</w:t>
            </w:r>
          </w:p>
        </w:tc>
        <w:tc>
          <w:tcPr>
            <w:tcW w:type="dxa" w:w="6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3 (옹진군, 강화군, 동구)</w:t>
            </w:r>
          </w:p>
        </w:tc>
      </w:tr>
      <w:tr>
        <w:tc>
          <w:tcPr>
            <w:tcW w:type="dxa" w:w="3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경기도</w:t>
            </w:r>
          </w:p>
        </w:tc>
        <w:tc>
          <w:tcPr>
            <w:tcW w:type="dxa" w:w="6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3 (연천군, 가평군, 동두천시)</w:t>
            </w:r>
          </w:p>
        </w:tc>
      </w:tr>
      <w:tr>
        <w:tc>
          <w:tcPr>
            <w:tcW w:type="dxa" w:w="3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대구광역시</w:t>
            </w:r>
          </w:p>
        </w:tc>
        <w:tc>
          <w:tcPr>
            <w:tcW w:type="dxa" w:w="6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2 (군위군, 남구)</w:t>
            </w:r>
          </w:p>
        </w:tc>
      </w:tr>
      <w:tr>
        <w:tc>
          <w:tcPr>
            <w:tcW w:type="dxa" w:w="3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전라남도</w:t>
            </w:r>
          </w:p>
        </w:tc>
        <w:tc>
          <w:tcPr>
            <w:tcW w:type="dxa" w:w="6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2 (보성군, 강진군)</w:t>
            </w:r>
          </w:p>
        </w:tc>
      </w:tr>
      <w:tr>
        <w:tc>
          <w:tcPr>
            <w:tcW w:type="dxa" w:w="3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경상북도</w:t>
            </w:r>
          </w:p>
        </w:tc>
        <w:tc>
          <w:tcPr>
            <w:tcW w:type="dxa" w:w="6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1 (울릉군)</w:t>
            </w:r>
          </w:p>
        </w:tc>
      </w:tr>
      <w:tr>
        <w:tc>
          <w:tcPr>
            <w:tcW w:type="dxa" w:w="3400"/>
            <w:tcMar>
              <w:top w:type="dxa" w:w="60"/>
              <w:left w:type="dxa" w:w="100"/>
              <w:bottom w:type="dxa" w:w="60"/>
              <w:right w:type="dxa" w:w="100"/>
            </w:tcMar>
          </w:tcPr>
          <w:p>
            <w:pPr>
              <w:jc w:val="center"/>
            </w:pPr>
            <w:r>
              <w:rPr>
                <w:rFonts w:ascii="Malgun Gothic" w:cs="Malgun Gothic" w:eastAsia="Malgun Gothic" w:hAnsi="Malgun Gothic"/>
                <w:b w:val="false"/>
                <w:bCs w:val="false"/>
                <w:sz w:val="19"/>
                <w:szCs w:val="19"/>
              </w:rPr>
              <w:t xml:space="preserve">경상남도</w:t>
            </w:r>
          </w:p>
        </w:tc>
        <w:tc>
          <w:tcPr>
            <w:tcW w:type="dxa" w:w="6600"/>
            <w:tcMar>
              <w:top w:type="dxa" w:w="60"/>
              <w:left w:type="dxa" w:w="100"/>
              <w:bottom w:type="dxa" w:w="60"/>
              <w:right w:type="dxa" w:w="100"/>
            </w:tcMar>
          </w:tcPr>
          <w:p>
            <w:pPr>
              <w:jc w:val="left"/>
            </w:pPr>
            <w:r>
              <w:rPr>
                <w:rFonts w:ascii="Malgun Gothic" w:cs="Malgun Gothic" w:eastAsia="Malgun Gothic" w:hAnsi="Malgun Gothic"/>
                <w:b w:val="false"/>
                <w:bCs w:val="false"/>
                <w:sz w:val="19"/>
                <w:szCs w:val="19"/>
              </w:rPr>
              <w:t xml:space="preserve">1 (산청군)</w:t>
            </w:r>
          </w:p>
        </w:tc>
      </w:tr>
    </w:tbl>
    <w:p>
      <w:pPr>
        <w:pStyle w:val="Heading1"/>
        <w:spacing w:after="160" w:before="320"/>
      </w:pPr>
      <w:r>
        <w:rPr>
          <w:rFonts w:ascii="Malgun Gothic" w:cs="Malgun Gothic" w:eastAsia="Malgun Gothic" w:hAnsi="Malgun Gothic"/>
          <w:b/>
          <w:bCs/>
          <w:sz w:val="30"/>
          <w:szCs w:val="30"/>
        </w:rPr>
        <w:t xml:space="preserve">5. 결론 및 다음 단계 제안</w:t>
      </w:r>
    </w:p>
    <w:p>
      <w:pPr>
        <w:pStyle w:val="ListParagraph"/>
        <w:numPr>
          <w:ilvl w:val="0"/>
          <w:numId w:val="1"/>
        </w:numPr>
        <w:spacing w:after="100" w:line="280"/>
      </w:pPr>
      <w:r>
        <w:rPr>
          <w:rFonts w:ascii="Malgun Gothic" w:cs="Malgun Gothic" w:eastAsia="Malgun Gothic" w:hAnsi="Malgun Gothic"/>
          <w:sz w:val="21"/>
          <w:szCs w:val="21"/>
        </w:rPr>
        <w:t xml:space="preserve">전국 스크리닝 결과, 이동격차가 가장 심각한 지역은 인천 옹진군·강화군, 대구 군위군, 경기 연천군·가평군, 경북 울릉군, 강원 산간 군 지역 등 저밀도 농산어촌 지역과, 부산·대구·인천의 원도심 노후 구로 요약된다.</w:t>
      </w:r>
    </w:p>
    <w:p>
      <w:pPr>
        <w:pStyle w:val="ListParagraph"/>
        <w:numPr>
          <w:ilvl w:val="0"/>
          <w:numId w:val="1"/>
        </w:numPr>
        <w:spacing w:after="100" w:line="280"/>
      </w:pPr>
      <w:r>
        <w:rPr>
          <w:rFonts w:ascii="Malgun Gothic" w:cs="Malgun Gothic" w:eastAsia="Malgun Gothic" w:hAnsi="Malgun Gothic"/>
          <w:sz w:val="21"/>
          <w:szCs w:val="21"/>
        </w:rPr>
        <w:t xml:space="preserve">서울은 데이터 한계(자치구별 정류장 데이터 부재) 및 정책적 우선순위(기존 대중교통망 충분) 상 이번 스크리닝에서 제외하였다.</w:t>
      </w:r>
    </w:p>
    <w:p>
      <w:pPr>
        <w:pStyle w:val="ListParagraph"/>
        <w:numPr>
          <w:ilvl w:val="0"/>
          <w:numId w:val="1"/>
        </w:numPr>
        <w:spacing w:after="100" w:line="280"/>
      </w:pPr>
      <w:r>
        <w:rPr>
          <w:rFonts w:ascii="Malgun Gothic" w:cs="Malgun Gothic" w:eastAsia="Malgun Gothic" w:hAnsi="Malgun Gothic"/>
          <w:sz w:val="21"/>
          <w:szCs w:val="21"/>
        </w:rPr>
        <w:t xml:space="preserve">다음 단계로는 상위 지역 중 실제 DRT·마을버스 배치 설계를 진행할 1~2개 지역(또는 유형별 1곳씩)을 선정하여, 읍면동 단위의 상세 수요 분석과 노선/배차 설계로 분석 범위를 좁혀나가는 것을 제안한다.</w:t>
      </w:r>
    </w:p>
    <w:p>
      <w:pPr>
        <w:pStyle w:val="ListParagraph"/>
        <w:numPr>
          <w:ilvl w:val="0"/>
          <w:numId w:val="1"/>
        </w:numPr>
        <w:spacing w:after="100" w:line="280"/>
      </w:pPr>
      <w:r>
        <w:rPr>
          <w:rFonts w:ascii="Malgun Gothic" w:cs="Malgun Gothic" w:eastAsia="Malgun Gothic" w:hAnsi="Malgun Gothic"/>
          <w:sz w:val="21"/>
          <w:szCs w:val="21"/>
        </w:rPr>
        <w:t xml:space="preserve">탄소점수는 시도 단위로만 산출되어 시군구 간 변별력이 제한적이므로, 상세 설계 단계에서는 시군구 단위 차량 등록 대수·주행거리 등 보다 세분화된 지표로 보완할 필요가 있다.</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41d3543fc7e7183503def95563962ff8320cec.png"/><Relationship Id="rId8" Type="http://schemas.openxmlformats.org/officeDocument/2006/relationships/image" Target="media/8f0a27b3c80321e88bf35f8cc75f32715a0e0a2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2026-09-14T08:04:05.635Z</dcterms:created>
  <dcterms:modified xsi:type="dcterms:W3CDTF">2026-09-14T08:04:05.645Z</dcterms:modified>
</cp:coreProperties>
</file>

<file path=docProps/custom.xml><?xml version="1.0" encoding="utf-8"?>
<Properties xmlns="http://schemas.openxmlformats.org/officeDocument/2006/custom-properties" xmlns:vt="http://schemas.openxmlformats.org/officeDocument/2006/docPropsVTypes"/>
</file>