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t xml:space="preserve"/>
      </w:r>
    </w:p>
    <w:p>
      <w:pPr>
        <w:spacing w:before="0" w:after="80"/>
        <w:jc w:val="center"/>
      </w:pPr>
      <w:r>
        <w:rPr>
          <w:rFonts w:ascii="Times New Roman" w:cs="Times New Roman" w:eastAsia="Times New Roman" w:hAnsi="Times New Roman"/>
          <w:b/>
          <w:bCs/>
          <w:color w:val="1A1612"/>
          <w:sz w:val="72"/>
          <w:szCs w:val="72"/>
        </w:rPr>
        <w:t xml:space="preserve">U∞ Infinitum</w:t>
      </w:r>
    </w:p>
    <w:p>
      <w:pPr>
        <w:spacing w:before="0" w:after="80"/>
        <w:jc w:val="center"/>
      </w:pPr>
      <w:r>
        <w:rPr>
          <w:rFonts w:ascii="Times New Roman" w:cs="Times New Roman" w:eastAsia="Times New Roman" w:hAnsi="Times New Roman"/>
          <w:i/>
          <w:iCs/>
          <w:color w:val="4A4238"/>
          <w:sz w:val="32"/>
          <w:szCs w:val="32"/>
        </w:rPr>
        <w:t xml:space="preserve">Website Content Master Document</w:t>
      </w:r>
    </w:p>
    <w:p>
      <w:pPr>
        <w:spacing w:before="0" w:after="400"/>
        <w:jc w:val="center"/>
      </w:pPr>
      <w:r>
        <w:rPr>
          <w:rFonts w:ascii="Arial" w:cs="Arial" w:eastAsia="Arial" w:hAnsi="Arial"/>
          <w:color w:val="888888"/>
          <w:sz w:val="22"/>
          <w:szCs w:val="22"/>
        </w:rPr>
        <w:t xml:space="preserve">For AI Website Builder — All Pages, All Sections, Complete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84C" w:sz="4"/>
              <w:left w:val="single" w:color="C9A84C" w:sz="4"/>
              <w:bottom w:val="single" w:color="C9A84C" w:sz="4"/>
              <w:right w:val="single" w:color="C9A84C" w:sz="4"/>
            </w:tcBorders>
            <w:shd w:fill="F2EDE6" w:val="clear"/>
            <w:tcMar>
              <w:top w:type="dxa" w:w="120"/>
              <w:left w:type="dxa" w:w="200"/>
              <w:bottom w:type="dxa" w:w="120"/>
              <w:right w:type="dxa" w:w="200"/>
            </w:tcMar>
          </w:tcPr>
          <w:p>
            <w:pPr>
              <w:jc w:val="center"/>
            </w:pPr>
            <w:r>
              <w:rPr>
                <w:rFonts w:ascii="Times New Roman" w:cs="Times New Roman" w:eastAsia="Times New Roman" w:hAnsi="Times New Roman"/>
                <w:b/>
                <w:bCs/>
                <w:color w:val="1A1612"/>
                <w:sz w:val="24"/>
                <w:szCs w:val="24"/>
              </w:rPr>
              <w:t xml:space="preserve">9 Pages Defined</w:t>
            </w:r>
          </w:p>
        </w:tc>
        <w:tc>
          <w:tcPr>
            <w:tcW w:type="dxa" w:w="3120"/>
            <w:tcBorders>
              <w:top w:val="single" w:color="C9A84C" w:sz="4"/>
              <w:left w:val="single" w:color="C9A84C" w:sz="4"/>
              <w:bottom w:val="single" w:color="C9A84C" w:sz="4"/>
              <w:right w:val="single" w:color="C9A84C" w:sz="4"/>
            </w:tcBorders>
            <w:shd w:fill="F2EDE6" w:val="clear"/>
            <w:tcMar>
              <w:top w:type="dxa" w:w="120"/>
              <w:left w:type="dxa" w:w="200"/>
              <w:bottom w:type="dxa" w:w="120"/>
              <w:right w:type="dxa" w:w="200"/>
            </w:tcMar>
          </w:tcPr>
          <w:p>
            <w:pPr>
              <w:jc w:val="center"/>
            </w:pPr>
            <w:r>
              <w:rPr>
                <w:rFonts w:ascii="Times New Roman" w:cs="Times New Roman" w:eastAsia="Times New Roman" w:hAnsi="Times New Roman"/>
                <w:b/>
                <w:bCs/>
                <w:color w:val="1A1612"/>
                <w:sz w:val="24"/>
                <w:szCs w:val="24"/>
              </w:rPr>
              <w:t xml:space="preserve">Student-First Tone</w:t>
            </w:r>
          </w:p>
        </w:tc>
        <w:tc>
          <w:tcPr>
            <w:tcW w:type="dxa" w:w="3120"/>
            <w:tcBorders>
              <w:top w:val="single" w:color="C9A84C" w:sz="4"/>
              <w:left w:val="single" w:color="C9A84C" w:sz="4"/>
              <w:bottom w:val="single" w:color="C9A84C" w:sz="4"/>
              <w:right w:val="single" w:color="C9A84C" w:sz="4"/>
            </w:tcBorders>
            <w:shd w:fill="F2EDE6" w:val="clear"/>
            <w:tcMar>
              <w:top w:type="dxa" w:w="120"/>
              <w:left w:type="dxa" w:w="200"/>
              <w:bottom w:type="dxa" w:w="120"/>
              <w:right w:type="dxa" w:w="200"/>
            </w:tcMar>
          </w:tcPr>
          <w:p>
            <w:pPr>
              <w:jc w:val="center"/>
            </w:pPr>
            <w:r>
              <w:rPr>
                <w:rFonts w:ascii="Times New Roman" w:cs="Times New Roman" w:eastAsia="Times New Roman" w:hAnsi="Times New Roman"/>
                <w:b/>
                <w:bCs/>
                <w:color w:val="1A1612"/>
                <w:sz w:val="24"/>
                <w:szCs w:val="24"/>
              </w:rPr>
              <w:t xml:space="preserve">Feed to Builder Directly</w:t>
            </w:r>
          </w:p>
        </w:tc>
      </w:tr>
    </w:tbl>
    <w:p>
      <w:pPr>
        <w:spacing w:before="0" w:after="160"/>
      </w:pPr>
      <w:r>
        <w:t xml:space="preserve"/>
      </w:r>
    </w:p>
    <w:p>
      <w:pPr>
        <w:pBdr>
          <w:bottom w:val="single" w:color="E8E2D9" w:sz="2" w:space="1"/>
        </w:pBdr>
        <w:spacing w:before="160" w:after="160"/>
      </w:pPr>
    </w:p>
    <w:p>
      <w:pPr>
        <w:pBdr>
          <w:bottom w:val="single" w:color="C9A84C" w:sz="6" w:space="4"/>
        </w:pBdr>
        <w:spacing w:before="400" w:after="160"/>
      </w:pPr>
      <w:r>
        <w:rPr>
          <w:rFonts w:ascii="Times New Roman" w:cs="Times New Roman" w:eastAsia="Times New Roman" w:hAnsi="Times New Roman"/>
          <w:b/>
          <w:bCs/>
          <w:color w:val="1A1612"/>
          <w:sz w:val="36"/>
          <w:szCs w:val="36"/>
        </w:rPr>
        <w:t xml:space="preserve">PAGES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ROUTE</w:t>
            </w:r>
          </w:p>
        </w:tc>
        <w:tc>
          <w:tcPr>
            <w:tcW w:type="dxa" w:w="656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PAGE PURPOSE</w:t>
            </w:r>
          </w:p>
        </w:tc>
      </w:tr>
      <w:tr>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 — Home</w:t>
            </w:r>
          </w:p>
        </w:tc>
        <w:tc>
          <w:tcPr>
            <w:tcW w:type="dxa" w:w="6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The live chain demo + what U Infinitum is</w:t>
            </w:r>
          </w:p>
        </w:tc>
      </w:tr>
      <w:tr>
        <w:tc>
          <w:tcPr>
            <w:tcW w:type="dxa" w:w="2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/scholar — For Students</w:t>
            </w:r>
          </w:p>
        </w:tc>
        <w:tc>
          <w:tcPr>
            <w:tcW w:type="dxa" w:w="65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What you build, the 5 phases, requirements</w:t>
            </w:r>
          </w:p>
        </w:tc>
      </w:tr>
      <w:tr>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/join — How to Participate</w:t>
            </w:r>
          </w:p>
        </w:tc>
        <w:tc>
          <w:tcPr>
            <w:tcW w:type="dxa" w:w="6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Formats, eligibility, how to apply</w:t>
            </w:r>
          </w:p>
        </w:tc>
      </w:tr>
      <w:tr>
        <w:tc>
          <w:tcPr>
            <w:tcW w:type="dxa" w:w="2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/fields — Field Tracks</w:t>
            </w:r>
          </w:p>
        </w:tc>
        <w:tc>
          <w:tcPr>
            <w:tcW w:type="dxa" w:w="65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The 4 engineering domains available</w:t>
            </w:r>
          </w:p>
        </w:tc>
      </w:tr>
      <w:tr>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/explore — Tool Explorer</w:t>
            </w:r>
          </w:p>
        </w:tc>
        <w:tc>
          <w:tcPr>
            <w:tcW w:type="dxa" w:w="6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Browse all deployed tools in the REGISTRY</w:t>
            </w:r>
          </w:p>
        </w:tc>
      </w:tr>
      <w:tr>
        <w:tc>
          <w:tcPr>
            <w:tcW w:type="dxa" w:w="2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/papers — Research Library</w:t>
            </w:r>
          </w:p>
        </w:tc>
        <w:tc>
          <w:tcPr>
            <w:tcW w:type="dxa" w:w="65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The papers behind every tool</w:t>
            </w:r>
          </w:p>
        </w:tc>
      </w:tr>
      <w:tr>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/registry — The REGISTRY</w:t>
            </w:r>
          </w:p>
        </w:tc>
        <w:tc>
          <w:tcPr>
            <w:tcW w:type="dxa" w:w="6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Live graph of all tools and their connections</w:t>
            </w:r>
          </w:p>
        </w:tc>
      </w:tr>
      <w:tr>
        <w:tc>
          <w:tcPr>
            <w:tcW w:type="dxa" w:w="2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/cohorts — Cohort History</w:t>
            </w:r>
          </w:p>
        </w:tc>
        <w:tc>
          <w:tcPr>
            <w:tcW w:type="dxa" w:w="65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Statistics, graduate profiles</w:t>
            </w:r>
          </w:p>
        </w:tc>
      </w:tr>
      <w:tr>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/about — What Is U Infinitum</w:t>
            </w:r>
          </w:p>
        </w:tc>
        <w:tc>
          <w:tcPr>
            <w:tcW w:type="dxa" w:w="6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Mission, team, architecture</w:t>
            </w:r>
          </w:p>
        </w:tc>
      </w:tr>
    </w:tbl>
    <w:p>
      <w:pPr>
        <w:spacing w:before="0" w:after="80"/>
      </w:pPr>
      <w:r>
        <w:t xml:space="preserve"/>
      </w:r>
    </w:p>
    <w:p>
      <w:pPr>
        <w:spacing w:before="60" w:after="80"/>
        <w:ind w:left="360"/>
      </w:pPr>
      <w:r>
        <w:rPr>
          <w:rFonts w:ascii="Arial" w:cs="Arial" w:eastAsia="Arial" w:hAnsi="Arial"/>
          <w:i/>
          <w:iCs/>
          <w:color w:val="555555"/>
          <w:sz w:val="20"/>
          <w:szCs w:val="20"/>
        </w:rPr>
        <w:t xml:space="preserve">ℹ  Every word below is final copy. Feed section by section into your builder. Do not rewrite — the tone is deliberate.</w:t>
      </w:r>
    </w:p>
    <w:p>
      <w:r>
        <w:br w:type="page"/>
      </w:r>
    </w:p>
    <w:p>
      <w:pPr>
        <w:pBdr>
          <w:bottom w:val="single" w:color="C9A84C" w:sz="6" w:space="4"/>
        </w:pBdr>
        <w:spacing w:before="400" w:after="160"/>
      </w:pPr>
      <w:r>
        <w:rPr>
          <w:rFonts w:ascii="Times New Roman" w:cs="Times New Roman" w:eastAsia="Times New Roman" w:hAnsi="Times New Roman"/>
          <w:b/>
          <w:bCs/>
          <w:color w:val="1A1612"/>
          <w:sz w:val="36"/>
          <w:szCs w:val="36"/>
        </w:rPr>
        <w:t xml:space="preserve">PAGE 1  —  / (HOME)</w:t>
      </w:r>
    </w:p>
    <w:p>
      <w:pPr>
        <w:spacing w:before="200" w:after="60"/>
      </w:pPr>
      <w:r>
        <w:rPr>
          <w:rFonts w:ascii="Arial" w:cs="Arial" w:eastAsia="Arial" w:hAnsi="Arial"/>
          <w:b/>
          <w:bCs/>
          <w:color w:val="C9A84C"/>
          <w:sz w:val="16"/>
          <w:szCs w:val="16"/>
        </w:rPr>
        <w:t xml:space="preserve">PURPOSE</w:t>
      </w:r>
    </w:p>
    <w:p>
      <w:pPr>
        <w:spacing w:before="60" w:after="80"/>
        <w:jc w:val="left"/>
      </w:pPr>
      <w:r>
        <w:rPr>
          <w:rFonts w:ascii="Times New Roman" w:cs="Times New Roman" w:eastAsia="Times New Roman" w:hAnsi="Times New Roman"/>
          <w:color w:val="4A4238"/>
          <w:sz w:val="22"/>
          <w:szCs w:val="22"/>
        </w:rPr>
        <w:t xml:space="preserve">A visitor lands with zero context. Within 10 seconds they must understand what U Infinitum produces — not from text, but from seeing a live tool run. Every section below supports that single goal.</w:t>
      </w:r>
    </w:p>
    <w:p>
      <w:pPr>
        <w:spacing w:before="0" w:after="80"/>
      </w:pPr>
      <w:r>
        <w:t xml:space="preserve"/>
      </w:r>
    </w:p>
    <w:p>
      <w:pPr>
        <w:spacing w:before="200" w:after="60"/>
      </w:pPr>
      <w:r>
        <w:rPr>
          <w:rFonts w:ascii="Arial" w:cs="Arial" w:eastAsia="Arial" w:hAnsi="Arial"/>
          <w:b/>
          <w:bCs/>
          <w:color w:val="C9A84C"/>
          <w:sz w:val="16"/>
          <w:szCs w:val="16"/>
        </w:rPr>
        <w:t xml:space="preserve">HERO SECTION</w:t>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1A1612"/>
                <w:sz w:val="20"/>
                <w:szCs w:val="20"/>
              </w:rPr>
              <w:t xml:space="preserve">HEADLINE (large display text, split across 3 lines):</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1A1612"/>
                <w:sz w:val="44"/>
                <w:szCs w:val="44"/>
              </w:rPr>
              <w:t xml:space="preserve">We build what</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iCs/>
                <w:color w:val="4A4238"/>
                <w:sz w:val="44"/>
                <w:szCs w:val="44"/>
              </w:rPr>
              <w:t xml:space="preserve">standard institutions</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1A1612"/>
                <w:sz w:val="44"/>
                <w:szCs w:val="44"/>
              </w:rPr>
              <w:t xml:space="preserve">cannot.</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1A1612"/>
                <w:sz w:val="20"/>
                <w:szCs w:val="20"/>
              </w:rPr>
              <w:t xml:space="preserve">SUBHEADLINE (smaller, below headline):</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U Infinitum is the foundational layer for next-generation industrial autonomy and synthetic dataset environments.</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888888"/>
                <w:sz w:val="18"/>
                <w:szCs w:val="18"/>
              </w:rPr>
              <w:t xml:space="preserve">TAGLINE (bottom-right corner, small):</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iCs/>
                <w:color w:val="888888"/>
                <w:sz w:val="20"/>
                <w:szCs w:val="20"/>
              </w:rPr>
              <w:t xml:space="preserve">You don't observe this environment. You work inside it.</w:t>
            </w:r>
          </w:p>
        </w:tc>
      </w:tr>
    </w:tbl>
    <w:p>
      <w:pPr>
        <w:spacing w:before="0" w:after="80"/>
      </w:pPr>
      <w:r>
        <w:t xml:space="preserve"/>
      </w:r>
    </w:p>
    <w:p>
      <w:pPr>
        <w:spacing w:before="200" w:after="60"/>
      </w:pPr>
      <w:r>
        <w:rPr>
          <w:rFonts w:ascii="Arial" w:cs="Arial" w:eastAsia="Arial" w:hAnsi="Arial"/>
          <w:b/>
          <w:bCs/>
          <w:color w:val="C9A84C"/>
          <w:sz w:val="16"/>
          <w:szCs w:val="16"/>
        </w:rPr>
        <w:t xml:space="preserve">LIVE CHAIN DEMO SECTION</w:t>
      </w:r>
    </w:p>
    <w:p>
      <w:pPr>
        <w:spacing w:before="60" w:after="80"/>
        <w:jc w:val="left"/>
      </w:pPr>
      <w:r>
        <w:rPr>
          <w:rFonts w:ascii="Times New Roman" w:cs="Times New Roman" w:eastAsia="Times New Roman" w:hAnsi="Times New Roman"/>
          <w:color w:val="4A4238"/>
          <w:sz w:val="22"/>
          <w:szCs w:val="22"/>
        </w:rPr>
        <w:t xml:space="preserve">This section replaces all explanatory copy. It IS the explanation.</w:t>
      </w:r>
    </w:p>
    <w:p>
      <w:pPr>
        <w:spacing w:before="60" w:after="80"/>
        <w:jc w:val="left"/>
      </w:pPr>
      <w:r>
        <w:rPr>
          <w:rFonts w:ascii="Times New Roman" w:cs="Times New Roman" w:eastAsia="Times New Roman" w:hAnsi="Times New Roman"/>
          <w:color w:val="4A4238"/>
          <w:sz w:val="22"/>
          <w:szCs w:val="22"/>
        </w:rPr>
        <w:t xml:space="preserve">Display a live running demo: user inputs a CNT volume fraction (default 1.5%), clicks RUN, and watches the 4-scale chain execute in real time — NANO → MICRO → MESO → MEGA — each tool's output becoming the next tool's input.</w:t>
      </w:r>
    </w:p>
    <w:p>
      <w:pPr>
        <w:spacing w:before="60" w:after="80"/>
        <w:jc w:val="left"/>
      </w:pPr>
      <w:r>
        <w:rPr>
          <w:rFonts w:ascii="Times New Roman" w:cs="Times New Roman" w:eastAsia="Times New Roman" w:hAnsi="Times New Roman"/>
          <w:color w:val="4A4238"/>
          <w:sz w:val="22"/>
          <w:szCs w:val="22"/>
        </w:rPr>
        <w:t xml:space="preserve">Below the demo, show this text:</w:t>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1A1612"/>
                <w:sz w:val="26"/>
                <w:szCs w:val="26"/>
              </w:rPr>
              <w:t xml:space="preserve">What you just ran is a chain.</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Four tools, built by four students, connected across four scales of engineering. Each one anchored in a real research paper. Each one validated against a physical hand-solve before a single line of code was written.</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1A1612"/>
                <w:sz w:val="22"/>
                <w:szCs w:val="22"/>
              </w:rPr>
              <w:t xml:space="preserve">This is what U Infinitum produces.</w:t>
            </w:r>
          </w:p>
        </w:tc>
      </w:tr>
    </w:tbl>
    <w:p>
      <w:pPr>
        <w:spacing w:before="0" w:after="80"/>
      </w:pPr>
      <w:r>
        <w:t xml:space="preserve"/>
      </w:r>
    </w:p>
    <w:p>
      <w:pPr>
        <w:spacing w:before="200" w:after="60"/>
      </w:pPr>
      <w:r>
        <w:rPr>
          <w:rFonts w:ascii="Arial" w:cs="Arial" w:eastAsia="Arial" w:hAnsi="Arial"/>
          <w:b/>
          <w:bCs/>
          <w:color w:val="C9A84C"/>
          <w:sz w:val="16"/>
          <w:szCs w:val="16"/>
        </w:rPr>
        <w:t xml:space="preserve">HOW IT WORKS — 3 STEPS (ICON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STEP</w:t>
            </w:r>
          </w:p>
        </w:tc>
        <w:tc>
          <w:tcPr>
            <w:tcW w:type="dxa" w:w="22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TITLE</w:t>
            </w:r>
          </w:p>
        </w:tc>
        <w:tc>
          <w:tcPr>
            <w:tcW w:type="dxa" w:w="636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WHAT HAPPENS</w:t>
            </w:r>
          </w:p>
        </w:tc>
      </w:tr>
      <w:tr>
        <w:tc>
          <w:tcPr>
            <w:tcW w:type="dxa" w:w="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01</w:t>
            </w:r>
          </w:p>
        </w:tc>
        <w:tc>
          <w:tcPr>
            <w:tcW w:type="dxa" w:w="22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You pick a field.</w:t>
            </w:r>
          </w:p>
        </w:tc>
        <w:tc>
          <w:tcPr>
            <w:tcW w:type="dxa" w:w="63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Structural, Biomedical, Energy, or Computational. You bring domain knowledge. We provide the paper and the tools.</w:t>
            </w:r>
          </w:p>
        </w:tc>
      </w:tr>
      <w:tr>
        <w:tc>
          <w:tcPr>
            <w:tcW w:type="dxa" w:w="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02</w:t>
            </w:r>
          </w:p>
        </w:tc>
        <w:tc>
          <w:tcPr>
            <w:tcW w:type="dxa" w:w="22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You build and validate.</w:t>
            </w:r>
          </w:p>
        </w:tc>
        <w:tc>
          <w:tcPr>
            <w:tcW w:type="dxa" w:w="63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Theory questions. Hand-solve on paper. 12-cell notebook. 4 test cases. Every step is structured. None of it is optional.</w:t>
            </w:r>
          </w:p>
        </w:tc>
      </w:tr>
      <w:tr>
        <w:tc>
          <w:tcPr>
            <w:tcW w:type="dxa" w:w="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03</w:t>
            </w:r>
          </w:p>
        </w:tc>
        <w:tc>
          <w:tcPr>
            <w:tcW w:type="dxa" w:w="22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Your tool goes live.</w:t>
            </w:r>
          </w:p>
        </w:tc>
        <w:tc>
          <w:tcPr>
            <w:tcW w:type="dxa" w:w="63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If it passes all quality gates, it is deployed on the REGISTRY. Real engineers query it. Real results depend on it.</w:t>
            </w:r>
          </w:p>
        </w:tc>
      </w:tr>
    </w:tbl>
    <w:p>
      <w:pPr>
        <w:spacing w:before="0" w:after="80"/>
      </w:pPr>
      <w:r>
        <w:t xml:space="preserve"/>
      </w:r>
    </w:p>
    <w:p>
      <w:pPr>
        <w:spacing w:before="200" w:after="60"/>
      </w:pPr>
      <w:r>
        <w:rPr>
          <w:rFonts w:ascii="Arial" w:cs="Arial" w:eastAsia="Arial" w:hAnsi="Arial"/>
          <w:b/>
          <w:bCs/>
          <w:color w:val="C9A84C"/>
          <w:sz w:val="16"/>
          <w:szCs w:val="16"/>
        </w:rPr>
        <w:t xml:space="preserve">STATS STRIP (LIVE-UPDATING NUMBERS)</w:t>
      </w:r>
    </w:p>
    <w:p>
      <w:pPr>
        <w:spacing w:before="60" w:after="80"/>
        <w:jc w:val="left"/>
      </w:pPr>
      <w:r>
        <w:rPr>
          <w:rFonts w:ascii="Times New Roman" w:cs="Times New Roman" w:eastAsia="Times New Roman" w:hAnsi="Times New Roman"/>
          <w:color w:val="4A4238"/>
          <w:sz w:val="22"/>
          <w:szCs w:val="22"/>
        </w:rPr>
        <w:t xml:space="preserve">Display four live numbers pulled from the REGISTRY. Use the following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LABEL</w:t>
            </w:r>
          </w:p>
        </w:tc>
        <w:tc>
          <w:tcPr>
            <w:tcW w:type="dxa" w:w="356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UPDATE TRIGGER</w:t>
            </w:r>
          </w:p>
        </w:tc>
        <w:tc>
          <w:tcPr>
            <w:tcW w:type="dxa" w:w="30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DISPLAY</w:t>
            </w:r>
          </w:p>
        </w:tc>
      </w:tr>
      <w:tr>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Tools in REGISTRY</w:t>
            </w:r>
          </w:p>
        </w:tc>
        <w:tc>
          <w:tcPr>
            <w:tcW w:type="dxa" w:w="3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Auto-updates after every session</w:t>
            </w:r>
          </w:p>
        </w:tc>
        <w:tc>
          <w:tcPr>
            <w:tcW w:type="dxa" w:w="30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Show live count</w:t>
            </w:r>
          </w:p>
        </w:tc>
      </w:tr>
      <w:tr>
        <w:tc>
          <w:tcPr>
            <w:tcW w:type="dxa" w:w="2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Research Papers Structured</w:t>
            </w:r>
          </w:p>
        </w:tc>
        <w:tc>
          <w:tcPr>
            <w:tcW w:type="dxa" w:w="35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Updated as papers are added</w:t>
            </w:r>
          </w:p>
        </w:tc>
        <w:tc>
          <w:tcPr>
            <w:tcW w:type="dxa" w:w="30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Show live count</w:t>
            </w:r>
          </w:p>
        </w:tc>
      </w:tr>
      <w:tr>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Test Cases Passed</w:t>
            </w:r>
          </w:p>
        </w:tc>
        <w:tc>
          <w:tcPr>
            <w:tcW w:type="dxa" w:w="3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Cumulative across all tools</w:t>
            </w:r>
          </w:p>
        </w:tc>
        <w:tc>
          <w:tcPr>
            <w:tcW w:type="dxa" w:w="30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Show live count</w:t>
            </w:r>
          </w:p>
        </w:tc>
      </w:tr>
      <w:tr>
        <w:tc>
          <w:tcPr>
            <w:tcW w:type="dxa" w:w="2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Active Scholars</w:t>
            </w:r>
          </w:p>
        </w:tc>
        <w:tc>
          <w:tcPr>
            <w:tcW w:type="dxa" w:w="35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Current enrolled students</w:t>
            </w:r>
          </w:p>
        </w:tc>
        <w:tc>
          <w:tcPr>
            <w:tcW w:type="dxa" w:w="30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Show live count</w:t>
            </w:r>
          </w:p>
        </w:tc>
      </w:tr>
    </w:tbl>
    <w:p>
      <w:pPr>
        <w:spacing w:before="0" w:after="80"/>
      </w:pPr>
      <w:r>
        <w:t xml:space="preserve"/>
      </w:r>
    </w:p>
    <w:p>
      <w:pPr>
        <w:spacing w:before="200" w:after="60"/>
      </w:pPr>
      <w:r>
        <w:rPr>
          <w:rFonts w:ascii="Arial" w:cs="Arial" w:eastAsia="Arial" w:hAnsi="Arial"/>
          <w:b/>
          <w:bCs/>
          <w:color w:val="C9A84C"/>
          <w:sz w:val="16"/>
          <w:szCs w:val="16"/>
        </w:rPr>
        <w:t xml:space="preserve">BOTTOM CTA</w:t>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1A1612"/>
                <w:sz w:val="32"/>
                <w:szCs w:val="32"/>
              </w:rPr>
              <w:t xml:space="preserve">Ready to run the simulation?</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C9A84C"/>
                <w:sz w:val="22"/>
                <w:szCs w:val="22"/>
              </w:rPr>
              <w:t xml:space="preserve">BUTTON: OPEN A PROTOCOL →</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888888"/>
                <w:sz w:val="18"/>
                <w:szCs w:val="18"/>
              </w:rPr>
              <w:t xml:space="preserve">(links to /join)</w:t>
            </w:r>
          </w:p>
        </w:tc>
      </w:tr>
    </w:tbl>
    <w:p>
      <w:r>
        <w:br w:type="page"/>
      </w:r>
    </w:p>
    <w:p>
      <w:pPr>
        <w:pBdr>
          <w:bottom w:val="single" w:color="C9A84C" w:sz="6" w:space="4"/>
        </w:pBdr>
        <w:spacing w:before="400" w:after="160"/>
      </w:pPr>
      <w:r>
        <w:rPr>
          <w:rFonts w:ascii="Times New Roman" w:cs="Times New Roman" w:eastAsia="Times New Roman" w:hAnsi="Times New Roman"/>
          <w:b/>
          <w:bCs/>
          <w:color w:val="1A1612"/>
          <w:sz w:val="36"/>
          <w:szCs w:val="36"/>
        </w:rPr>
        <w:t xml:space="preserve">PAGE 2  —  /scholar  (FOR STUDENTS)</w:t>
      </w:r>
    </w:p>
    <w:p>
      <w:pPr>
        <w:spacing w:before="200" w:after="60"/>
      </w:pPr>
      <w:r>
        <w:rPr>
          <w:rFonts w:ascii="Arial" w:cs="Arial" w:eastAsia="Arial" w:hAnsi="Arial"/>
          <w:b/>
          <w:bCs/>
          <w:color w:val="C9A84C"/>
          <w:sz w:val="16"/>
          <w:szCs w:val="16"/>
        </w:rPr>
        <w:t xml:space="preserve">PURPOSE</w:t>
      </w:r>
    </w:p>
    <w:p>
      <w:pPr>
        <w:spacing w:before="60" w:after="80"/>
        <w:jc w:val="left"/>
      </w:pPr>
      <w:r>
        <w:rPr>
          <w:rFonts w:ascii="Times New Roman" w:cs="Times New Roman" w:eastAsia="Times New Roman" w:hAnsi="Times New Roman"/>
          <w:color w:val="4A4238"/>
          <w:sz w:val="22"/>
          <w:szCs w:val="22"/>
        </w:rPr>
        <w:t xml:space="preserve">A student lands here. They need to understand exactly what they will do, what they will produce, and what is expected of them — without jargon, without inflation, and without softening the difficulty.</w:t>
      </w:r>
    </w:p>
    <w:p>
      <w:pPr>
        <w:spacing w:before="0" w:after="80"/>
      </w:pPr>
      <w:r>
        <w:t xml:space="preserve"/>
      </w:r>
    </w:p>
    <w:p>
      <w:pPr>
        <w:spacing w:before="200" w:after="60"/>
      </w:pPr>
      <w:r>
        <w:rPr>
          <w:rFonts w:ascii="Arial" w:cs="Arial" w:eastAsia="Arial" w:hAnsi="Arial"/>
          <w:b/>
          <w:bCs/>
          <w:color w:val="C9A84C"/>
          <w:sz w:val="16"/>
          <w:szCs w:val="16"/>
        </w:rPr>
        <w:t xml:space="preserve">HERO — SCHOLAR PAGE</w:t>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1A1612"/>
                <w:sz w:val="36"/>
                <w:szCs w:val="36"/>
              </w:rPr>
              <w:t xml:space="preserve">This is not a course.</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No lectures. No certificates for attendance. No group projects where someone else carries the weight.</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You arrive. You are given a real research paper. You compute something by hand. Then you build a tool that works — or it doesn't ship.</w:t>
            </w:r>
          </w:p>
        </w:tc>
      </w:tr>
    </w:tbl>
    <w:p>
      <w:pPr>
        <w:spacing w:before="0" w:after="80"/>
      </w:pPr>
      <w:r>
        <w:t xml:space="preserve"/>
      </w:r>
    </w:p>
    <w:p>
      <w:pPr>
        <w:spacing w:before="200" w:after="60"/>
      </w:pPr>
      <w:r>
        <w:rPr>
          <w:rFonts w:ascii="Arial" w:cs="Arial" w:eastAsia="Arial" w:hAnsi="Arial"/>
          <w:b/>
          <w:bCs/>
          <w:color w:val="C9A84C"/>
          <w:sz w:val="16"/>
          <w:szCs w:val="16"/>
        </w:rPr>
        <w:t xml:space="preserve">WHAT YOU WILL BUILD</w:t>
      </w:r>
    </w:p>
    <w:p>
      <w:pPr>
        <w:spacing w:before="60" w:after="80"/>
        <w:jc w:val="left"/>
      </w:pPr>
      <w:r>
        <w:rPr>
          <w:rFonts w:ascii="Times New Roman" w:cs="Times New Roman" w:eastAsia="Times New Roman" w:hAnsi="Times New Roman"/>
          <w:color w:val="4A4238"/>
          <w:sz w:val="22"/>
          <w:szCs w:val="22"/>
        </w:rPr>
        <w:t xml:space="preserve">One validated machine learning tool that:</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Solves a specific real problem from a peer-reviewed research paper</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Was computed by hand first — before any code was written</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Passes 4 test cases including edge cases and adversarial inputs</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Meets field-specific accuracy thresholds (85–88% for safety-critical fields)</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Is deployed live on uinfinitum.com — queryable by anyone, used in real design chains</w:t>
      </w:r>
    </w:p>
    <w:p>
      <w:pPr>
        <w:spacing w:before="0" w:after="80"/>
      </w:pPr>
      <w:r>
        <w:t xml:space="preserve"/>
      </w:r>
    </w:p>
    <w:p>
      <w:pPr>
        <w:spacing w:before="200" w:after="60"/>
      </w:pPr>
      <w:r>
        <w:rPr>
          <w:rFonts w:ascii="Arial" w:cs="Arial" w:eastAsia="Arial" w:hAnsi="Arial"/>
          <w:b/>
          <w:bCs/>
          <w:color w:val="C9A84C"/>
          <w:sz w:val="16"/>
          <w:szCs w:val="16"/>
        </w:rPr>
        <w:t xml:space="preserve">THE 5 PHASES — WHAT YOUR SESSION LOOKS LIKE</w:t>
      </w:r>
    </w:p>
    <w:p>
      <w:pPr>
        <w:spacing w:before="60" w:after="80"/>
        <w:jc w:val="left"/>
      </w:pPr>
      <w:r>
        <w:rPr>
          <w:rFonts w:ascii="Times New Roman" w:cs="Times New Roman" w:eastAsia="Times New Roman" w:hAnsi="Times New Roman"/>
          <w:color w:val="4A4238"/>
          <w:sz w:val="22"/>
          <w:szCs w:val="22"/>
        </w:rPr>
        <w:t xml:space="preserve">Every session follows the same structure. There are no shortcuts.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
            </w:r>
          </w:p>
        </w:tc>
        <w:tc>
          <w:tcPr>
            <w:tcW w:type="dxa" w:w="24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PHASE NAME</w:t>
            </w:r>
          </w:p>
        </w:tc>
        <w:tc>
          <w:tcPr>
            <w:tcW w:type="dxa" w:w="576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WHAT HAPPENS</w:t>
            </w:r>
          </w:p>
        </w:tc>
      </w:tr>
      <w:tr>
        <w:tc>
          <w:tcPr>
            <w:tcW w:type="dxa" w:w="12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Phase 1</w:t>
            </w:r>
          </w:p>
        </w:tc>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Theory Mode  (15–20 min)</w:t>
            </w:r>
          </w:p>
        </w:tc>
        <w:tc>
          <w:tcPr>
            <w:tcW w:type="dxa" w:w="5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The Question Engine asks you Socratic questions about the paper's domain. Not trivia. Deep questions about why things work the way they do. You respond verbally or in writing. The engine tracks which concepts you cover and which you miss. Gaps are flagged.</w:t>
            </w:r>
          </w:p>
        </w:tc>
      </w:tr>
      <w:tr>
        <w:tc>
          <w:tcPr>
            <w:tcW w:type="dxa" w:w="12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Phase 2</w:t>
            </w:r>
          </w:p>
        </w:tc>
        <w:tc>
          <w:tcPr>
            <w:tcW w:type="dxa" w:w="24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Hand-Solve  (15–25 min)</w:t>
            </w:r>
          </w:p>
        </w:tc>
        <w:tc>
          <w:tcPr>
            <w:tcW w:type="dxa" w:w="57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You compute the core result from the paper by hand on paper. No calculator shortcuts. No skipping steps. Your written answer becomes Test Case 1 — the ground truth that your code must match. If your code diverges by more than 8%, it is returned.</w:t>
            </w:r>
          </w:p>
        </w:tc>
      </w:tr>
      <w:tr>
        <w:tc>
          <w:tcPr>
            <w:tcW w:type="dxa" w:w="12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Phase 3</w:t>
            </w:r>
          </w:p>
        </w:tc>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Tool Build  (30–50 min)</w:t>
            </w:r>
          </w:p>
        </w:tc>
        <w:tc>
          <w:tcPr>
            <w:tcW w:type="dxa" w:w="5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You work inside a pre-generated Jupyter notebook with 12 cells. 8 cells are locked and auto-generated. You fill in 4 TODO blocks. The GENERATE WITH AI button is available only after your hand-solve is recorded — and it sends a structured prompt, not an open request.</w:t>
            </w:r>
          </w:p>
        </w:tc>
      </w:tr>
      <w:tr>
        <w:tc>
          <w:tcPr>
            <w:tcW w:type="dxa" w:w="12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Phase 4</w:t>
            </w:r>
          </w:p>
        </w:tc>
        <w:tc>
          <w:tcPr>
            <w:tcW w:type="dxa" w:w="24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Testing  (15–30 min)</w:t>
            </w:r>
          </w:p>
        </w:tc>
        <w:tc>
          <w:tcPr>
            <w:tcW w:type="dxa" w:w="57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4 test cases run automatically. Test Case 1 is your hand-solve. Tests 2–4 are adversarial: edge inputs, boundary values, stress cases. All 4 must pass. One failure returns the tool.</w:t>
            </w:r>
          </w:p>
        </w:tc>
      </w:tr>
      <w:tr>
        <w:tc>
          <w:tcPr>
            <w:tcW w:type="dxa" w:w="12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Phase 5</w:t>
            </w:r>
          </w:p>
        </w:tc>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Knowledge Capture  (10–15 min)</w:t>
            </w:r>
          </w:p>
        </w:tc>
        <w:tc>
          <w:tcPr>
            <w:tcW w:type="dxa" w:w="5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You answer 5 structured questions in your own words: what you learned, why the top feature matters, what the model would miss, how experts should verify it, and what remains uncertain. This cannot be copy-pasted. Your facilitator will ask you to explain your answers without reading them.</w:t>
            </w:r>
          </w:p>
        </w:tc>
      </w:tr>
    </w:tbl>
    <w:p>
      <w:pPr>
        <w:spacing w:before="0" w:after="80"/>
      </w:pPr>
      <w:r>
        <w:t xml:space="preserve"/>
      </w:r>
    </w:p>
    <w:p>
      <w:pPr>
        <w:spacing w:before="200" w:after="60"/>
      </w:pPr>
      <w:r>
        <w:rPr>
          <w:rFonts w:ascii="Arial" w:cs="Arial" w:eastAsia="Arial" w:hAnsi="Arial"/>
          <w:b/>
          <w:bCs/>
          <w:color w:val="C9A84C"/>
          <w:sz w:val="16"/>
          <w:szCs w:val="16"/>
        </w:rPr>
        <w:t xml:space="preserve">QUALITY GATES — WHAT YOUR TOOL MUST ACHIEVE</w:t>
      </w:r>
    </w:p>
    <w:p>
      <w:pPr>
        <w:spacing w:before="60" w:after="80"/>
        <w:jc w:val="left"/>
      </w:pPr>
      <w:r>
        <w:rPr>
          <w:rFonts w:ascii="Times New Roman" w:cs="Times New Roman" w:eastAsia="Times New Roman" w:hAnsi="Times New Roman"/>
          <w:color w:val="4A4238"/>
          <w:sz w:val="22"/>
          <w:szCs w:val="22"/>
        </w:rPr>
        <w:t xml:space="preserve">These are non-negotiable. Every gate must be passed for your tool to be approved and deployed.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GATE</w:t>
            </w:r>
          </w:p>
        </w:tc>
        <w:tc>
          <w:tcPr>
            <w:tcW w:type="dxa" w:w="28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THRESHOLD</w:t>
            </w:r>
          </w:p>
        </w:tc>
        <w:tc>
          <w:tcPr>
            <w:tcW w:type="dxa" w:w="436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WHY IT EXISTS</w:t>
            </w:r>
          </w:p>
        </w:tc>
      </w:tr>
      <w:tr>
        <w:tc>
          <w:tcPr>
            <w:tcW w:type="dxa" w:w="22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TC1 Convergence</w:t>
            </w:r>
          </w:p>
        </w:tc>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Within ±8% of your hand-solve answer</w:t>
            </w:r>
          </w:p>
        </w:tc>
        <w:tc>
          <w:tcPr>
            <w:tcW w:type="dxa" w:w="43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If your code gives a different answer than your hand-solve, it means your model learned something other than what the physics supports. The session is VOID — not a 0, a VOID.</w:t>
            </w:r>
          </w:p>
        </w:tc>
      </w:tr>
      <w:tr>
        <w:tc>
          <w:tcPr>
            <w:tcW w:type="dxa" w:w="22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All 4 Test Cases Pass</w:t>
            </w:r>
          </w:p>
        </w:tc>
        <w:tc>
          <w:tcPr>
            <w:tcW w:type="dxa" w:w="2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100% required</w:t>
            </w:r>
          </w:p>
        </w:tc>
        <w:tc>
          <w:tcPr>
            <w:tcW w:type="dxa" w:w="43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3/4 is not enough. The test cases include adversarial inputs specifically designed to fail weak implementations.</w:t>
            </w:r>
          </w:p>
        </w:tc>
      </w:tr>
      <w:tr>
        <w:tc>
          <w:tcPr>
            <w:tcW w:type="dxa" w:w="22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Accuracy Threshold</w:t>
            </w:r>
          </w:p>
        </w:tc>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Field-specific (80–88%)</w:t>
            </w:r>
          </w:p>
        </w:tc>
        <w:tc>
          <w:tcPr>
            <w:tcW w:type="dxa" w:w="43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Structural: 85%+. Biomedical: 88%+. Energy: 82%+. A tool that is wrong 1 in 5 times is not a tool — it is noise.</w:t>
            </w:r>
          </w:p>
        </w:tc>
      </w:tr>
      <w:tr>
        <w:tc>
          <w:tcPr>
            <w:tcW w:type="dxa" w:w="22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Feature Coherence</w:t>
            </w:r>
          </w:p>
        </w:tc>
        <w:tc>
          <w:tcPr>
            <w:tcW w:type="dxa" w:w="2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Top features must be domain-justifiable</w:t>
            </w:r>
          </w:p>
        </w:tc>
        <w:tc>
          <w:tcPr>
            <w:tcW w:type="dxa" w:w="43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Your facilitator will ask: why is this feature most important? If you cannot answer in domain language — referencing physics, chemistry, biology, or the paper — the tool is returned.</w:t>
            </w:r>
          </w:p>
        </w:tc>
      </w:tr>
      <w:tr>
        <w:tc>
          <w:tcPr>
            <w:tcW w:type="dxa" w:w="22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Knowledge Capture</w:t>
            </w:r>
          </w:p>
        </w:tc>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Genuine understanding, not paste</w:t>
            </w:r>
          </w:p>
        </w:tc>
        <w:tc>
          <w:tcPr>
            <w:tcW w:type="dxa" w:w="43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Your facilitator will select one of your 5 answers at random and ask you to explain it without looking at the sheet. If you cannot, it is returned for rewriting.</w:t>
            </w:r>
          </w:p>
        </w:tc>
      </w:tr>
    </w:tbl>
    <w:p>
      <w:pPr>
        <w:spacing w:before="0" w:after="80"/>
      </w:pPr>
      <w:r>
        <w:t xml:space="preserve"/>
      </w:r>
    </w:p>
    <w:p>
      <w:pPr>
        <w:spacing w:before="200" w:after="60"/>
      </w:pPr>
      <w:r>
        <w:rPr>
          <w:rFonts w:ascii="Arial" w:cs="Arial" w:eastAsia="Arial" w:hAnsi="Arial"/>
          <w:b/>
          <w:bCs/>
          <w:color w:val="C9A84C"/>
          <w:sz w:val="16"/>
          <w:szCs w:val="16"/>
        </w:rPr>
        <w:t xml:space="preserve">WHAT YOU NEED TO BRING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WHAT</w:t>
            </w:r>
          </w:p>
        </w:tc>
        <w:tc>
          <w:tcPr>
            <w:tcW w:type="dxa" w:w="24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SPECIFICS</w:t>
            </w:r>
          </w:p>
        </w:tc>
        <w:tc>
          <w:tcPr>
            <w:tcW w:type="dxa" w:w="476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CONTEXT</w:t>
            </w:r>
          </w:p>
        </w:tc>
      </w:tr>
      <w:tr>
        <w:tc>
          <w:tcPr>
            <w:tcW w:type="dxa" w:w="22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Domain knowledge</w:t>
            </w:r>
          </w:p>
        </w:tc>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You must understand your field</w:t>
            </w:r>
          </w:p>
        </w:tc>
        <w:tc>
          <w:tcPr>
            <w:tcW w:type="dxa" w:w="4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This is not a course in materials science, biomedical engineering, or structural analysis. You bring that. We provide the paper and the tools.</w:t>
            </w:r>
          </w:p>
        </w:tc>
      </w:tr>
      <w:tr>
        <w:tc>
          <w:tcPr>
            <w:tcW w:type="dxa" w:w="22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Basic Python</w:t>
            </w:r>
          </w:p>
        </w:tc>
        <w:tc>
          <w:tcPr>
            <w:tcW w:type="dxa" w:w="24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pandas, scikit-learn fundamentals</w:t>
            </w:r>
          </w:p>
        </w:tc>
        <w:tc>
          <w:tcPr>
            <w:tcW w:type="dxa" w:w="47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You need to fill in 4 TODO blocks in a pre-structured notebook. The model type is pre-selected. You implement it.</w:t>
            </w:r>
          </w:p>
        </w:tc>
      </w:tr>
      <w:tr>
        <w:tc>
          <w:tcPr>
            <w:tcW w:type="dxa" w:w="22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Time commitment</w:t>
            </w:r>
          </w:p>
        </w:tc>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Varies by format (see /join)</w:t>
            </w:r>
          </w:p>
        </w:tc>
        <w:tc>
          <w:tcPr>
            <w:tcW w:type="dxa" w:w="4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Hackathon: 1.5 hours. Course: 3 weeks. Workshop: 2 days. Choose based on your goal.</w:t>
            </w:r>
          </w:p>
        </w:tc>
      </w:tr>
    </w:tbl>
    <w:p>
      <w:pPr>
        <w:spacing w:before="0" w:after="80"/>
      </w:pPr>
      <w:r>
        <w:t xml:space="preserve"/>
      </w:r>
    </w:p>
    <w:p>
      <w:pPr>
        <w:spacing w:before="200" w:after="60"/>
      </w:pPr>
      <w:r>
        <w:rPr>
          <w:rFonts w:ascii="Arial" w:cs="Arial" w:eastAsia="Arial" w:hAnsi="Arial"/>
          <w:b/>
          <w:bCs/>
          <w:color w:val="C9A84C"/>
          <w:sz w:val="16"/>
          <w:szCs w:val="16"/>
        </w:rPr>
        <w:t xml:space="preserve">THE VOID RULE</w:t>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1A1612"/>
                <w:sz w:val="24"/>
                <w:szCs w:val="24"/>
              </w:rPr>
              <w:t xml:space="preserve">A session where Test Case 1 fails is not graded zero. It receives a VOID.</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VOID means: the session did not happen. Your tool is not in the REGISTRY. Your name is not on the website. Nothing is published.</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This is not punitive. A tool whose fundamental computation is wrong is not a tool — it is misinformation. The VOID rule communicates this precisely.</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iCs/>
                <w:color w:val="888888"/>
                <w:sz w:val="20"/>
                <w:szCs w:val="20"/>
              </w:rPr>
              <w:t xml:space="preserve">Students who receive a VOID understand exactly why: not because they didn't work hard, but because the output was not trustworthy. The session can be retaken.</w:t>
            </w:r>
          </w:p>
        </w:tc>
      </w:tr>
    </w:tbl>
    <w:p>
      <w:r>
        <w:br w:type="page"/>
      </w:r>
    </w:p>
    <w:p>
      <w:pPr>
        <w:pBdr>
          <w:bottom w:val="single" w:color="C9A84C" w:sz="6" w:space="4"/>
        </w:pBdr>
        <w:spacing w:before="400" w:after="160"/>
      </w:pPr>
      <w:r>
        <w:rPr>
          <w:rFonts w:ascii="Times New Roman" w:cs="Times New Roman" w:eastAsia="Times New Roman" w:hAnsi="Times New Roman"/>
          <w:b/>
          <w:bCs/>
          <w:color w:val="1A1612"/>
          <w:sz w:val="36"/>
          <w:szCs w:val="36"/>
        </w:rPr>
        <w:t xml:space="preserve">PAGE 3  —  /join  (HOW TO PARTICIPATE)</w:t>
      </w:r>
    </w:p>
    <w:p>
      <w:pPr>
        <w:spacing w:before="200" w:after="60"/>
      </w:pPr>
      <w:r>
        <w:rPr>
          <w:rFonts w:ascii="Arial" w:cs="Arial" w:eastAsia="Arial" w:hAnsi="Arial"/>
          <w:b/>
          <w:bCs/>
          <w:color w:val="C9A84C"/>
          <w:sz w:val="16"/>
          <w:szCs w:val="16"/>
        </w:rPr>
        <w:t xml:space="preserve">PURPOSE</w:t>
      </w:r>
    </w:p>
    <w:p>
      <w:pPr>
        <w:spacing w:before="60" w:after="80"/>
        <w:jc w:val="left"/>
      </w:pPr>
      <w:r>
        <w:rPr>
          <w:rFonts w:ascii="Times New Roman" w:cs="Times New Roman" w:eastAsia="Times New Roman" w:hAnsi="Times New Roman"/>
          <w:color w:val="4A4238"/>
          <w:sz w:val="22"/>
          <w:szCs w:val="22"/>
        </w:rPr>
        <w:t xml:space="preserve">Students who are ready to apply come here. The page must tell them which format suits them, exactly what to expect, and how to register. No ambiguity.</w:t>
      </w:r>
    </w:p>
    <w:p>
      <w:pPr>
        <w:spacing w:before="0" w:after="80"/>
      </w:pPr>
      <w:r>
        <w:t xml:space="preserve"/>
      </w:r>
    </w:p>
    <w:p>
      <w:pPr>
        <w:spacing w:before="200" w:after="60"/>
      </w:pPr>
      <w:r>
        <w:rPr>
          <w:rFonts w:ascii="Arial" w:cs="Arial" w:eastAsia="Arial" w:hAnsi="Arial"/>
          <w:b/>
          <w:bCs/>
          <w:color w:val="C9A84C"/>
          <w:sz w:val="16"/>
          <w:szCs w:val="16"/>
        </w:rPr>
        <w:t xml:space="preserve">HEADLINE</w:t>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1A1612"/>
                <w:sz w:val="36"/>
                <w:szCs w:val="36"/>
              </w:rPr>
              <w:t xml:space="preserve">Three formats. One standard.</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Every format produces the same output: a validated, deployed tool that passes the same quality gates. The format changes the pace. The standard never changes.</w:t>
            </w:r>
          </w:p>
        </w:tc>
      </w:tr>
    </w:tbl>
    <w:p>
      <w:pPr>
        <w:spacing w:before="0" w:after="80"/>
      </w:pPr>
      <w:r>
        <w:t xml:space="preserve"/>
      </w:r>
    </w:p>
    <w:p>
      <w:pPr>
        <w:spacing w:before="200" w:after="60"/>
      </w:pPr>
      <w:r>
        <w:rPr>
          <w:rFonts w:ascii="Arial" w:cs="Arial" w:eastAsia="Arial" w:hAnsi="Arial"/>
          <w:b/>
          <w:bCs/>
          <w:color w:val="C9A84C"/>
          <w:sz w:val="16"/>
          <w:szCs w:val="16"/>
        </w:rPr>
        <w:t xml:space="preserve">FORMAT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19"/>
                <w:szCs w:val="19"/>
              </w:rPr>
              <w:t xml:space="preserve"/>
            </w:r>
          </w:p>
        </w:tc>
        <w:tc>
          <w:tcPr>
            <w:tcW w:type="dxa" w:w="234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19"/>
                <w:szCs w:val="19"/>
              </w:rPr>
              <w:t xml:space="preserve">90-MIN HACKATHON</w:t>
            </w:r>
          </w:p>
        </w:tc>
        <w:tc>
          <w:tcPr>
            <w:tcW w:type="dxa" w:w="234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19"/>
                <w:szCs w:val="19"/>
              </w:rPr>
              <w:t xml:space="preserve">3-WEEK COURSE</w:t>
            </w:r>
          </w:p>
        </w:tc>
        <w:tc>
          <w:tcPr>
            <w:tcW w:type="dxa" w:w="234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19"/>
                <w:szCs w:val="19"/>
              </w:rPr>
              <w:t xml:space="preserve">2-DAY WORKSHOP</w:t>
            </w:r>
          </w:p>
        </w:tc>
      </w:tr>
      <w:tr>
        <w:tc>
          <w:tcPr>
            <w:tcW w:type="dxa" w:w="234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19"/>
                <w:szCs w:val="19"/>
              </w:rPr>
              <w:t xml:space="preserve">Duration</w:t>
            </w:r>
          </w:p>
        </w:tc>
        <w:tc>
          <w:tcPr>
            <w:tcW w:type="dxa" w:w="234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4A4238"/>
                <w:sz w:val="19"/>
                <w:szCs w:val="19"/>
              </w:rPr>
              <w:t xml:space="preserve">1.5 hours</w:t>
            </w:r>
          </w:p>
        </w:tc>
        <w:tc>
          <w:tcPr>
            <w:tcW w:type="dxa" w:w="234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4A4238"/>
                <w:sz w:val="19"/>
                <w:szCs w:val="19"/>
              </w:rPr>
              <w:t xml:space="preserve">6 sessions + homework</w:t>
            </w:r>
          </w:p>
        </w:tc>
        <w:tc>
          <w:tcPr>
            <w:tcW w:type="dxa" w:w="234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4A4238"/>
                <w:sz w:val="19"/>
                <w:szCs w:val="19"/>
              </w:rPr>
              <w:t xml:space="preserve">10 hours across 2 days</w:t>
            </w:r>
          </w:p>
        </w:tc>
      </w:tr>
      <w:tr>
        <w:tc>
          <w:tcPr>
            <w:tcW w:type="dxa" w:w="234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19"/>
                <w:szCs w:val="19"/>
              </w:rPr>
              <w:t xml:space="preserve">Best for</w:t>
            </w:r>
          </w:p>
        </w:tc>
        <w:tc>
          <w:tcPr>
            <w:tcW w:type="dxa" w:w="234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4A4238"/>
                <w:sz w:val="19"/>
                <w:szCs w:val="19"/>
              </w:rPr>
              <w:t xml:space="preserve">First-time builders, events</w:t>
            </w:r>
          </w:p>
        </w:tc>
        <w:tc>
          <w:tcPr>
            <w:tcW w:type="dxa" w:w="234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4A4238"/>
                <w:sz w:val="19"/>
                <w:szCs w:val="19"/>
              </w:rPr>
              <w:t xml:space="preserve">Deep learning, peer work</w:t>
            </w:r>
          </w:p>
        </w:tc>
        <w:tc>
          <w:tcPr>
            <w:tcW w:type="dxa" w:w="234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4A4238"/>
                <w:sz w:val="19"/>
                <w:szCs w:val="19"/>
              </w:rPr>
              <w:t xml:space="preserve">Professional upskilling</w:t>
            </w:r>
          </w:p>
        </w:tc>
      </w:tr>
      <w:tr>
        <w:tc>
          <w:tcPr>
            <w:tcW w:type="dxa" w:w="234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19"/>
                <w:szCs w:val="19"/>
              </w:rPr>
              <w:t xml:space="preserve">Weekly commitment</w:t>
            </w:r>
          </w:p>
        </w:tc>
        <w:tc>
          <w:tcPr>
            <w:tcW w:type="dxa" w:w="234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4A4238"/>
                <w:sz w:val="19"/>
                <w:szCs w:val="19"/>
              </w:rPr>
              <w:t xml:space="preserve">One afternoon</w:t>
            </w:r>
          </w:p>
        </w:tc>
        <w:tc>
          <w:tcPr>
            <w:tcW w:type="dxa" w:w="234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4A4238"/>
                <w:sz w:val="19"/>
                <w:szCs w:val="19"/>
              </w:rPr>
              <w:t xml:space="preserve">3 hrs/week + 2 hrs homework</w:t>
            </w:r>
          </w:p>
        </w:tc>
        <w:tc>
          <w:tcPr>
            <w:tcW w:type="dxa" w:w="234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4A4238"/>
                <w:sz w:val="19"/>
                <w:szCs w:val="19"/>
              </w:rPr>
              <w:t xml:space="preserve">Full 2 days, intensive</w:t>
            </w:r>
          </w:p>
        </w:tc>
      </w:tr>
      <w:tr>
        <w:tc>
          <w:tcPr>
            <w:tcW w:type="dxa" w:w="234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19"/>
                <w:szCs w:val="19"/>
              </w:rPr>
              <w:t xml:space="preserve">Format</w:t>
            </w:r>
          </w:p>
        </w:tc>
        <w:tc>
          <w:tcPr>
            <w:tcW w:type="dxa" w:w="234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4A4238"/>
                <w:sz w:val="19"/>
                <w:szCs w:val="19"/>
              </w:rPr>
              <w:t xml:space="preserve">Facilitated in-person</w:t>
            </w:r>
          </w:p>
        </w:tc>
        <w:tc>
          <w:tcPr>
            <w:tcW w:type="dxa" w:w="234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4A4238"/>
                <w:sz w:val="19"/>
                <w:szCs w:val="19"/>
              </w:rPr>
              <w:t xml:space="preserve">Online + in-person hybrid</w:t>
            </w:r>
          </w:p>
        </w:tc>
        <w:tc>
          <w:tcPr>
            <w:tcW w:type="dxa" w:w="234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4A4238"/>
                <w:sz w:val="19"/>
                <w:szCs w:val="19"/>
              </w:rPr>
              <w:t xml:space="preserve">In-person intensive</w:t>
            </w:r>
          </w:p>
        </w:tc>
      </w:tr>
      <w:tr>
        <w:tc>
          <w:tcPr>
            <w:tcW w:type="dxa" w:w="234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19"/>
                <w:szCs w:val="19"/>
              </w:rPr>
              <w:t xml:space="preserve">Output</w:t>
            </w:r>
          </w:p>
        </w:tc>
        <w:tc>
          <w:tcPr>
            <w:tcW w:type="dxa" w:w="234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4A4238"/>
                <w:sz w:val="19"/>
                <w:szCs w:val="19"/>
              </w:rPr>
              <w:t xml:space="preserve">1 validated tool</w:t>
            </w:r>
          </w:p>
        </w:tc>
        <w:tc>
          <w:tcPr>
            <w:tcW w:type="dxa" w:w="234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4A4238"/>
                <w:sz w:val="19"/>
                <w:szCs w:val="19"/>
              </w:rPr>
              <w:t xml:space="preserve">2–3 chained tools</w:t>
            </w:r>
          </w:p>
        </w:tc>
        <w:tc>
          <w:tcPr>
            <w:tcW w:type="dxa" w:w="234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4A4238"/>
                <w:sz w:val="19"/>
                <w:szCs w:val="19"/>
              </w:rPr>
              <w:t xml:space="preserve">2 complex tools</w:t>
            </w:r>
          </w:p>
        </w:tc>
      </w:tr>
      <w:tr>
        <w:tc>
          <w:tcPr>
            <w:tcW w:type="dxa" w:w="234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19"/>
                <w:szCs w:val="19"/>
              </w:rPr>
              <w:t xml:space="preserve">Who should apply</w:t>
            </w:r>
          </w:p>
        </w:tc>
        <w:tc>
          <w:tcPr>
            <w:tcW w:type="dxa" w:w="234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4A4238"/>
                <w:sz w:val="19"/>
                <w:szCs w:val="19"/>
              </w:rPr>
              <w:t xml:space="preserve">Students curious about the program</w:t>
            </w:r>
          </w:p>
        </w:tc>
        <w:tc>
          <w:tcPr>
            <w:tcW w:type="dxa" w:w="234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4A4238"/>
                <w:sz w:val="19"/>
                <w:szCs w:val="19"/>
              </w:rPr>
              <w:t xml:space="preserve">Students wanting depth and community</w:t>
            </w:r>
          </w:p>
        </w:tc>
        <w:tc>
          <w:tcPr>
            <w:tcW w:type="dxa" w:w="234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4A4238"/>
                <w:sz w:val="19"/>
                <w:szCs w:val="19"/>
              </w:rPr>
              <w:t xml:space="preserve">Working engineers, researchers</w:t>
            </w:r>
          </w:p>
        </w:tc>
      </w:tr>
    </w:tbl>
    <w:p>
      <w:pPr>
        <w:spacing w:before="0" w:after="80"/>
      </w:pPr>
      <w:r>
        <w:t xml:space="preserve"/>
      </w:r>
    </w:p>
    <w:p>
      <w:pPr>
        <w:spacing w:before="200" w:after="60"/>
      </w:pPr>
      <w:r>
        <w:rPr>
          <w:rFonts w:ascii="Arial" w:cs="Arial" w:eastAsia="Arial" w:hAnsi="Arial"/>
          <w:b/>
          <w:bCs/>
          <w:color w:val="C9A84C"/>
          <w:sz w:val="16"/>
          <w:szCs w:val="16"/>
        </w:rPr>
        <w:t xml:space="preserve">ELIGIBILITY</w:t>
      </w:r>
    </w:p>
    <w:p>
      <w:pPr>
        <w:spacing w:before="60" w:after="80"/>
        <w:jc w:val="left"/>
      </w:pPr>
      <w:r>
        <w:rPr>
          <w:rFonts w:ascii="Times New Roman" w:cs="Times New Roman" w:eastAsia="Times New Roman" w:hAnsi="Times New Roman"/>
          <w:color w:val="4A4238"/>
          <w:sz w:val="22"/>
          <w:szCs w:val="22"/>
        </w:rPr>
        <w:t xml:space="preserve">You should apply if ALL of the following are true:</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You have domain knowledge in at least one of: Structural Engineering, Biomedical Engineering, Energy Systems, or Computational Science</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You can write basic Python (pandas, scikit-learn) — or are willing to prepare before the session</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You are in Year 3 or Year 4 of an engineering programme, or are a working professional in a relevant field</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You understand that this is not a course where effort alone is rewarded — only validated output ships</w:t>
      </w:r>
    </w:p>
    <w:p>
      <w:pPr>
        <w:spacing w:before="0" w:after="80"/>
      </w:pPr>
      <w:r>
        <w:t xml:space="preserve"/>
      </w:r>
    </w:p>
    <w:p>
      <w:pPr>
        <w:spacing w:before="60" w:after="80"/>
        <w:jc w:val="left"/>
      </w:pPr>
      <w:r>
        <w:rPr>
          <w:rFonts w:ascii="Times New Roman" w:cs="Times New Roman" w:eastAsia="Times New Roman" w:hAnsi="Times New Roman"/>
          <w:color w:val="4A4238"/>
          <w:sz w:val="22"/>
          <w:szCs w:val="22"/>
        </w:rPr>
        <w:t xml:space="preserve">You should not apply if:</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You are hoping to learn your engineering domain from scratch through U Infinitum — this is not that programme</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You cannot commit to the session format you choose — partial completions do not produce deployed tools</w:t>
      </w:r>
    </w:p>
    <w:p>
      <w:pPr>
        <w:spacing w:before="0" w:after="80"/>
      </w:pPr>
      <w:r>
        <w:t xml:space="preserve"/>
      </w:r>
    </w:p>
    <w:p>
      <w:pPr>
        <w:spacing w:before="200" w:after="60"/>
      </w:pPr>
      <w:r>
        <w:rPr>
          <w:rFonts w:ascii="Arial" w:cs="Arial" w:eastAsia="Arial" w:hAnsi="Arial"/>
          <w:b/>
          <w:bCs/>
          <w:color w:val="C9A84C"/>
          <w:sz w:val="16"/>
          <w:szCs w:val="16"/>
        </w:rPr>
        <w:t xml:space="preserve">REGISTRATION FORM — FIELD LABELS</w:t>
      </w:r>
    </w:p>
    <w:p>
      <w:pPr>
        <w:spacing w:before="60" w:after="80"/>
        <w:jc w:val="left"/>
      </w:pPr>
      <w:r>
        <w:rPr>
          <w:rFonts w:ascii="Times New Roman" w:cs="Times New Roman" w:eastAsia="Times New Roman" w:hAnsi="Times New Roman"/>
          <w:color w:val="4A4238"/>
          <w:sz w:val="22"/>
          <w:szCs w:val="22"/>
        </w:rPr>
        <w:t xml:space="preserve">Display a form with the following fields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FIELD</w:t>
            </w:r>
          </w:p>
        </w:tc>
        <w:tc>
          <w:tcPr>
            <w:tcW w:type="dxa" w:w="656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INPUT TYPE</w:t>
            </w:r>
          </w:p>
        </w:tc>
      </w:tr>
      <w:tr>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First Name</w:t>
            </w:r>
          </w:p>
        </w:tc>
        <w:tc>
          <w:tcPr>
            <w:tcW w:type="dxa" w:w="6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Text input — required</w:t>
            </w:r>
          </w:p>
        </w:tc>
      </w:tr>
      <w:tr>
        <w:tc>
          <w:tcPr>
            <w:tcW w:type="dxa" w:w="2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Last Name</w:t>
            </w:r>
          </w:p>
        </w:tc>
        <w:tc>
          <w:tcPr>
            <w:tcW w:type="dxa" w:w="65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Text input — required</w:t>
            </w:r>
          </w:p>
        </w:tc>
      </w:tr>
      <w:tr>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Email</w:t>
            </w:r>
          </w:p>
        </w:tc>
        <w:tc>
          <w:tcPr>
            <w:tcW w:type="dxa" w:w="6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Email input — required</w:t>
            </w:r>
          </w:p>
        </w:tc>
      </w:tr>
      <w:tr>
        <w:tc>
          <w:tcPr>
            <w:tcW w:type="dxa" w:w="2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Phone</w:t>
            </w:r>
          </w:p>
        </w:tc>
        <w:tc>
          <w:tcPr>
            <w:tcW w:type="dxa" w:w="65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Phone input — required</w:t>
            </w:r>
          </w:p>
        </w:tc>
      </w:tr>
      <w:tr>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Institution / Organisation</w:t>
            </w:r>
          </w:p>
        </w:tc>
        <w:tc>
          <w:tcPr>
            <w:tcW w:type="dxa" w:w="6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Text input — optional</w:t>
            </w:r>
          </w:p>
        </w:tc>
      </w:tr>
      <w:tr>
        <w:tc>
          <w:tcPr>
            <w:tcW w:type="dxa" w:w="2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Field of Expertise</w:t>
            </w:r>
          </w:p>
        </w:tc>
        <w:tc>
          <w:tcPr>
            <w:tcW w:type="dxa" w:w="65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Dropdown: Structural Engineering / Biomedical / Energy Systems / Computational Science</w:t>
            </w:r>
          </w:p>
        </w:tc>
      </w:tr>
      <w:tr>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Programme Format</w:t>
            </w:r>
          </w:p>
        </w:tc>
        <w:tc>
          <w:tcPr>
            <w:tcW w:type="dxa" w:w="6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Dropdown: 90-Minute Hackathon / 3-Week Course / 2-Day Workshop</w:t>
            </w:r>
          </w:p>
        </w:tc>
      </w:tr>
      <w:tr>
        <w:tc>
          <w:tcPr>
            <w:tcW w:type="dxa" w:w="2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Why are you applying?</w:t>
            </w:r>
          </w:p>
        </w:tc>
        <w:tc>
          <w:tcPr>
            <w:tcW w:type="dxa" w:w="65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Textarea, max 300 characters</w:t>
            </w:r>
          </w:p>
        </w:tc>
      </w:tr>
    </w:tbl>
    <w:p>
      <w:pPr>
        <w:spacing w:before="0" w:after="80"/>
      </w:pPr>
      <w:r>
        <w:t xml:space="preserve"/>
      </w:r>
    </w:p>
    <w:p>
      <w:pPr>
        <w:spacing w:before="200" w:after="60"/>
      </w:pPr>
      <w:r>
        <w:rPr>
          <w:rFonts w:ascii="Arial" w:cs="Arial" w:eastAsia="Arial" w:hAnsi="Arial"/>
          <w:b/>
          <w:bCs/>
          <w:color w:val="C9A84C"/>
          <w:sz w:val="16"/>
          <w:szCs w:val="16"/>
        </w:rPr>
        <w:t xml:space="preserve">SUBMIT BUTTON</w:t>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C9A84C"/>
                <w:sz w:val="26"/>
                <w:szCs w:val="26"/>
              </w:rPr>
              <w:t xml:space="preserve">SUBMIT PROTOCOL  →</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888888"/>
                <w:sz w:val="18"/>
                <w:szCs w:val="18"/>
              </w:rPr>
              <w:t xml:space="preserve">(Button label — gold fill, dark text)</w:t>
            </w:r>
          </w:p>
        </w:tc>
      </w:tr>
    </w:tbl>
    <w:p>
      <w:pPr>
        <w:spacing w:before="0" w:after="80"/>
      </w:pPr>
      <w:r>
        <w:t xml:space="preserve"/>
      </w:r>
    </w:p>
    <w:p>
      <w:pPr>
        <w:spacing w:before="60" w:after="80"/>
        <w:ind w:left="360"/>
      </w:pPr>
      <w:r>
        <w:rPr>
          <w:rFonts w:ascii="Arial" w:cs="Arial" w:eastAsia="Arial" w:hAnsi="Arial"/>
          <w:i/>
          <w:iCs/>
          <w:color w:val="555555"/>
          <w:sz w:val="20"/>
          <w:szCs w:val="20"/>
        </w:rPr>
        <w:t xml:space="preserve">ℹ  On submission: student receives automated confirmation email. Facilitator receives Telegram notification with field and format.</w:t>
      </w:r>
    </w:p>
    <w:p>
      <w:r>
        <w:br w:type="page"/>
      </w:r>
    </w:p>
    <w:p>
      <w:pPr>
        <w:pBdr>
          <w:bottom w:val="single" w:color="C9A84C" w:sz="6" w:space="4"/>
        </w:pBdr>
        <w:spacing w:before="400" w:after="160"/>
      </w:pPr>
      <w:r>
        <w:rPr>
          <w:rFonts w:ascii="Times New Roman" w:cs="Times New Roman" w:eastAsia="Times New Roman" w:hAnsi="Times New Roman"/>
          <w:b/>
          <w:bCs/>
          <w:color w:val="1A1612"/>
          <w:sz w:val="36"/>
          <w:szCs w:val="36"/>
        </w:rPr>
        <w:t xml:space="preserve">PAGE 4  —  /fields  (FIELD TRACKS)</w:t>
      </w:r>
    </w:p>
    <w:p>
      <w:pPr>
        <w:spacing w:before="200" w:after="60"/>
      </w:pPr>
      <w:r>
        <w:rPr>
          <w:rFonts w:ascii="Arial" w:cs="Arial" w:eastAsia="Arial" w:hAnsi="Arial"/>
          <w:b/>
          <w:bCs/>
          <w:color w:val="C9A84C"/>
          <w:sz w:val="16"/>
          <w:szCs w:val="16"/>
        </w:rPr>
        <w:t xml:space="preserve">PURPOSE</w:t>
      </w:r>
    </w:p>
    <w:p>
      <w:pPr>
        <w:spacing w:before="60" w:after="80"/>
        <w:jc w:val="left"/>
      </w:pPr>
      <w:r>
        <w:rPr>
          <w:rFonts w:ascii="Times New Roman" w:cs="Times New Roman" w:eastAsia="Times New Roman" w:hAnsi="Times New Roman"/>
          <w:color w:val="4A4238"/>
          <w:sz w:val="22"/>
          <w:szCs w:val="22"/>
        </w:rPr>
        <w:t xml:space="preserve">A student deciding which track to pursue. Each field card must communicate: what kinds of problems it solves, what domain knowledge is required, and one real example of a tool already in the REGISTRY from that field.</w:t>
      </w:r>
    </w:p>
    <w:p>
      <w:pPr>
        <w:spacing w:before="0" w:after="80"/>
      </w:pPr>
      <w:r>
        <w:t xml:space="preserve"/>
      </w:r>
    </w:p>
    <w:p>
      <w:pPr>
        <w:spacing w:before="200" w:after="60"/>
      </w:pPr>
      <w:r>
        <w:rPr>
          <w:rFonts w:ascii="Arial" w:cs="Arial" w:eastAsia="Arial" w:hAnsi="Arial"/>
          <w:b/>
          <w:bCs/>
          <w:color w:val="C9A84C"/>
          <w:sz w:val="16"/>
          <w:szCs w:val="16"/>
        </w:rPr>
        <w:t xml:space="preserve">PAGE HEADLINE</w:t>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1A1612"/>
                <w:sz w:val="32"/>
                <w:szCs w:val="32"/>
              </w:rPr>
              <w:t xml:space="preserve">Four domains. Forty tools each.</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Every U Infinitum tool lives in one of four engineering domains. Each domain has its own papers, toolchain, and scale chain. Pick the one where you already have depth — not the one that sounds most impressive.</w:t>
            </w:r>
          </w:p>
        </w:tc>
      </w:tr>
    </w:tbl>
    <w:p>
      <w:pPr>
        <w:spacing w:before="0" w:after="80"/>
      </w:pPr>
      <w:r>
        <w:t xml:space="preserve"/>
      </w:r>
    </w:p>
    <w:p>
      <w:pPr>
        <w:spacing w:before="200" w:after="60"/>
      </w:pPr>
      <w:r>
        <w:rPr>
          <w:rFonts w:ascii="Arial" w:cs="Arial" w:eastAsia="Arial" w:hAnsi="Arial"/>
          <w:b/>
          <w:bCs/>
          <w:color w:val="C9A84C"/>
          <w:sz w:val="16"/>
          <w:szCs w:val="16"/>
        </w:rPr>
        <w:t xml:space="preserve">FIELD CARDS — 4 CARDS</w:t>
      </w:r>
    </w:p>
    <w:p>
      <w:pPr>
        <w:spacing w:before="0" w:after="80"/>
      </w:pPr>
      <w:r>
        <w:t xml:space="preserve"/>
      </w:r>
    </w:p>
    <w:p>
      <w:pPr>
        <w:spacing w:before="240" w:after="80"/>
      </w:pPr>
      <w:r>
        <w:rPr>
          <w:rFonts w:ascii="Times New Roman" w:cs="Times New Roman" w:eastAsia="Times New Roman" w:hAnsi="Times New Roman"/>
          <w:b/>
          <w:bCs/>
          <w:color w:val="5C3D2E"/>
          <w:sz w:val="22"/>
          <w:szCs w:val="22"/>
        </w:rPr>
        <w:t xml:space="preserve">STRUCTURAL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What it covers</w:t>
            </w:r>
          </w:p>
        </w:tc>
        <w:tc>
          <w:tcPr>
            <w:tcW w:type="dxa" w:w="6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Materials science, composites, beam analysis, load analysis, fatigue, failure mechanics. From nanomaterial reinforcement to full structural systems.</w:t>
            </w:r>
          </w:p>
        </w:tc>
      </w:tr>
      <w:tr>
        <w:tc>
          <w:tcPr>
            <w:tcW w:type="dxa" w:w="26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Scale chain</w:t>
            </w:r>
          </w:p>
        </w:tc>
        <w:tc>
          <w:tcPr>
            <w:tcW w:type="dxa" w:w="67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NANO → MICRO (RVE) → MESO (beam) → MACRO (floor) → MEGA (bridge, dam, tower)</w:t>
            </w:r>
          </w:p>
        </w:tc>
      </w:tr>
      <w:tr>
        <w:tc>
          <w:tcPr>
            <w:tcW w:type="dxa" w:w="26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Example tool in REGISTRY</w:t>
            </w:r>
          </w:p>
        </w:tc>
        <w:tc>
          <w:tcPr>
            <w:tcW w:type="dxa" w:w="6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CNT Composite E_eff Calculator — predicts effective elastic modulus of carbon-nanotube reinforced cement from volume fraction. Mehta &amp; Sharma 2022.</w:t>
            </w:r>
          </w:p>
        </w:tc>
      </w:tr>
      <w:tr>
        <w:tc>
          <w:tcPr>
            <w:tcW w:type="dxa" w:w="26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Who belongs here</w:t>
            </w:r>
          </w:p>
        </w:tc>
        <w:tc>
          <w:tcPr>
            <w:tcW w:type="dxa" w:w="67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Civil engineering, materials science, mechanical engineering, architecture students with structural focus</w:t>
            </w:r>
          </w:p>
        </w:tc>
      </w:tr>
      <w:tr>
        <w:tc>
          <w:tcPr>
            <w:tcW w:type="dxa" w:w="26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Required domain knowledge</w:t>
            </w:r>
          </w:p>
        </w:tc>
        <w:tc>
          <w:tcPr>
            <w:tcW w:type="dxa" w:w="6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Stress-strain relationships, modulus of elasticity, composite mechanics (Rule of Mixtures), beam bending theory</w:t>
            </w:r>
          </w:p>
        </w:tc>
      </w:tr>
      <w:tr>
        <w:tc>
          <w:tcPr>
            <w:tcW w:type="dxa" w:w="26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Typical accuracy threshold</w:t>
            </w:r>
          </w:p>
        </w:tc>
        <w:tc>
          <w:tcPr>
            <w:tcW w:type="dxa" w:w="67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85%+ (safety-critical physical systems)</w:t>
            </w:r>
          </w:p>
        </w:tc>
      </w:tr>
    </w:tbl>
    <w:p>
      <w:pPr>
        <w:spacing w:before="0" w:after="80"/>
      </w:pPr>
      <w:r>
        <w:t xml:space="preserve"/>
      </w:r>
    </w:p>
    <w:p>
      <w:pPr>
        <w:spacing w:before="240" w:after="80"/>
      </w:pPr>
      <w:r>
        <w:rPr>
          <w:rFonts w:ascii="Times New Roman" w:cs="Times New Roman" w:eastAsia="Times New Roman" w:hAnsi="Times New Roman"/>
          <w:b/>
          <w:bCs/>
          <w:color w:val="5C3D2E"/>
          <w:sz w:val="22"/>
          <w:szCs w:val="22"/>
        </w:rPr>
        <w:t xml:space="preserve">BIOMEDICAL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What it covers</w:t>
            </w:r>
          </w:p>
        </w:tc>
        <w:tc>
          <w:tcPr>
            <w:tcW w:type="dxa" w:w="6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Diagnostic tools, biomarkers, tissue classification, impedance spectroscopy, disease severity staging, sensor data interpretation.</w:t>
            </w:r>
          </w:p>
        </w:tc>
      </w:tr>
      <w:tr>
        <w:tc>
          <w:tcPr>
            <w:tcW w:type="dxa" w:w="26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Scale chain</w:t>
            </w:r>
          </w:p>
        </w:tc>
        <w:tc>
          <w:tcPr>
            <w:tcW w:type="dxa" w:w="67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MOLECULAR (biomarker) → CELLULAR (tissue) → ORGAN (diagnostic) → CLINICAL (patient-level prediction)</w:t>
            </w:r>
          </w:p>
        </w:tc>
      </w:tr>
      <w:tr>
        <w:tc>
          <w:tcPr>
            <w:tcW w:type="dxa" w:w="26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Example tool in REGISTRY</w:t>
            </w:r>
          </w:p>
        </w:tc>
        <w:tc>
          <w:tcPr>
            <w:tcW w:type="dxa" w:w="6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Periodontal Disease Stage Classifier — classifies severity from electrical impedance readings at multiple frequencies. Rajamani et al. 2021.</w:t>
            </w:r>
          </w:p>
        </w:tc>
      </w:tr>
      <w:tr>
        <w:tc>
          <w:tcPr>
            <w:tcW w:type="dxa" w:w="26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Who belongs here</w:t>
            </w:r>
          </w:p>
        </w:tc>
        <w:tc>
          <w:tcPr>
            <w:tcW w:type="dxa" w:w="67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Biomedical engineering, bioinformatics, clinical data science students</w:t>
            </w:r>
          </w:p>
        </w:tc>
      </w:tr>
      <w:tr>
        <w:tc>
          <w:tcPr>
            <w:tcW w:type="dxa" w:w="26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Required domain knowledge</w:t>
            </w:r>
          </w:p>
        </w:tc>
        <w:tc>
          <w:tcPr>
            <w:tcW w:type="dxa" w:w="6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Basic cell biology, understanding of diagnostic parameters, familiarity with clinical classification systems</w:t>
            </w:r>
          </w:p>
        </w:tc>
      </w:tr>
      <w:tr>
        <w:tc>
          <w:tcPr>
            <w:tcW w:type="dxa" w:w="26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Typical accuracy threshold</w:t>
            </w:r>
          </w:p>
        </w:tc>
        <w:tc>
          <w:tcPr>
            <w:tcW w:type="dxa" w:w="67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88%+ (misclassification has clinical consequences)</w:t>
            </w:r>
          </w:p>
        </w:tc>
      </w:tr>
    </w:tbl>
    <w:p>
      <w:pPr>
        <w:spacing w:before="0" w:after="80"/>
      </w:pPr>
      <w:r>
        <w:t xml:space="preserve"/>
      </w:r>
    </w:p>
    <w:p>
      <w:pPr>
        <w:spacing w:before="240" w:after="80"/>
      </w:pPr>
      <w:r>
        <w:rPr>
          <w:rFonts w:ascii="Times New Roman" w:cs="Times New Roman" w:eastAsia="Times New Roman" w:hAnsi="Times New Roman"/>
          <w:b/>
          <w:bCs/>
          <w:color w:val="5C3D2E"/>
          <w:sz w:val="22"/>
          <w:szCs w:val="22"/>
        </w:rPr>
        <w:t xml:space="preserve">ENERGY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What it covers</w:t>
            </w:r>
          </w:p>
        </w:tc>
        <w:tc>
          <w:tcPr>
            <w:tcW w:type="dxa" w:w="6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Solar efficiency prediction, grid stability, thermal analysis, battery performance, renewable integration, fatigue in energy infrastructure.</w:t>
            </w:r>
          </w:p>
        </w:tc>
      </w:tr>
      <w:tr>
        <w:tc>
          <w:tcPr>
            <w:tcW w:type="dxa" w:w="26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Scale chain</w:t>
            </w:r>
          </w:p>
        </w:tc>
        <w:tc>
          <w:tcPr>
            <w:tcW w:type="dxa" w:w="67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COMPONENT (cell/panel) → SYSTEM (array/grid) → NETWORK (regional) → POLICY (demand modelling)</w:t>
            </w:r>
          </w:p>
        </w:tc>
      </w:tr>
      <w:tr>
        <w:tc>
          <w:tcPr>
            <w:tcW w:type="dxa" w:w="26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Example tool in REGISTRY</w:t>
            </w:r>
          </w:p>
        </w:tc>
        <w:tc>
          <w:tcPr>
            <w:tcW w:type="dxa" w:w="6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Perovskite Solar Cell Efficiency Predictor — predicts PCE from deposition parameters. Liu et al. 2023.</w:t>
            </w:r>
          </w:p>
        </w:tc>
      </w:tr>
      <w:tr>
        <w:tc>
          <w:tcPr>
            <w:tcW w:type="dxa" w:w="26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Who belongs here</w:t>
            </w:r>
          </w:p>
        </w:tc>
        <w:tc>
          <w:tcPr>
            <w:tcW w:type="dxa" w:w="67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Electrical engineering, energy engineering, physics, sustainability science students</w:t>
            </w:r>
          </w:p>
        </w:tc>
      </w:tr>
      <w:tr>
        <w:tc>
          <w:tcPr>
            <w:tcW w:type="dxa" w:w="26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Required domain knowledge</w:t>
            </w:r>
          </w:p>
        </w:tc>
        <w:tc>
          <w:tcPr>
            <w:tcW w:type="dxa" w:w="6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Energy conversion principles, basic circuit theory, materials behaviour under thermal/radiation load</w:t>
            </w:r>
          </w:p>
        </w:tc>
      </w:tr>
      <w:tr>
        <w:tc>
          <w:tcPr>
            <w:tcW w:type="dxa" w:w="26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Typical accuracy threshold</w:t>
            </w:r>
          </w:p>
        </w:tc>
        <w:tc>
          <w:tcPr>
            <w:tcW w:type="dxa" w:w="67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82%+ (grid/device stability requirements)</w:t>
            </w:r>
          </w:p>
        </w:tc>
      </w:tr>
    </w:tbl>
    <w:p>
      <w:pPr>
        <w:spacing w:before="0" w:after="80"/>
      </w:pPr>
      <w:r>
        <w:t xml:space="preserve"/>
      </w:r>
    </w:p>
    <w:p>
      <w:pPr>
        <w:spacing w:before="240" w:after="80"/>
      </w:pPr>
      <w:r>
        <w:rPr>
          <w:rFonts w:ascii="Times New Roman" w:cs="Times New Roman" w:eastAsia="Times New Roman" w:hAnsi="Times New Roman"/>
          <w:b/>
          <w:bCs/>
          <w:color w:val="5C3D2E"/>
          <w:sz w:val="22"/>
          <w:szCs w:val="22"/>
        </w:rPr>
        <w:t xml:space="preserve">COMPUTATIONAL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What it covers</w:t>
            </w:r>
          </w:p>
        </w:tc>
        <w:tc>
          <w:tcPr>
            <w:tcW w:type="dxa" w:w="6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Algorithm performance modelling, simulation fidelity, numerical methods, computational fluid dynamics parameter prediction, HPC workload analysis.</w:t>
            </w:r>
          </w:p>
        </w:tc>
      </w:tr>
      <w:tr>
        <w:tc>
          <w:tcPr>
            <w:tcW w:type="dxa" w:w="26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Scale chain</w:t>
            </w:r>
          </w:p>
        </w:tc>
        <w:tc>
          <w:tcPr>
            <w:tcW w:type="dxa" w:w="67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ALGORITHM (op count) → IMPLEMENTATION (runtime) → SYSTEM (HPC node) → SIMULATION (full-scale run)</w:t>
            </w:r>
          </w:p>
        </w:tc>
      </w:tr>
      <w:tr>
        <w:tc>
          <w:tcPr>
            <w:tcW w:type="dxa" w:w="26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Example tool in REGISTRY</w:t>
            </w:r>
          </w:p>
        </w:tc>
        <w:tc>
          <w:tcPr>
            <w:tcW w:type="dxa" w:w="6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CFD Turbulence Parameter Classifier — classifies flow regime from inlet conditions. Zhang &amp; Wei 2022.</w:t>
            </w:r>
          </w:p>
        </w:tc>
      </w:tr>
      <w:tr>
        <w:tc>
          <w:tcPr>
            <w:tcW w:type="dxa" w:w="26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Who belongs here</w:t>
            </w:r>
          </w:p>
        </w:tc>
        <w:tc>
          <w:tcPr>
            <w:tcW w:type="dxa" w:w="67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Computer science, physics, applied mathematics, engineering students with simulation focus</w:t>
            </w:r>
          </w:p>
        </w:tc>
      </w:tr>
      <w:tr>
        <w:tc>
          <w:tcPr>
            <w:tcW w:type="dxa" w:w="26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Required domain knowledge</w:t>
            </w:r>
          </w:p>
        </w:tc>
        <w:tc>
          <w:tcPr>
            <w:tcW w:type="dxa" w:w="6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Numerical methods, basic fluid dynamics or relevant domain, algorithm analysis</w:t>
            </w:r>
          </w:p>
        </w:tc>
      </w:tr>
      <w:tr>
        <w:tc>
          <w:tcPr>
            <w:tcW w:type="dxa" w:w="26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Typical accuracy threshold</w:t>
            </w:r>
          </w:p>
        </w:tc>
        <w:tc>
          <w:tcPr>
            <w:tcW w:type="dxa" w:w="67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80%+</w:t>
            </w:r>
          </w:p>
        </w:tc>
      </w:tr>
    </w:tbl>
    <w:p>
      <w:r>
        <w:br w:type="page"/>
      </w:r>
    </w:p>
    <w:p>
      <w:pPr>
        <w:pBdr>
          <w:bottom w:val="single" w:color="C9A84C" w:sz="6" w:space="4"/>
        </w:pBdr>
        <w:spacing w:before="400" w:after="160"/>
      </w:pPr>
      <w:r>
        <w:rPr>
          <w:rFonts w:ascii="Times New Roman" w:cs="Times New Roman" w:eastAsia="Times New Roman" w:hAnsi="Times New Roman"/>
          <w:b/>
          <w:bCs/>
          <w:color w:val="1A1612"/>
          <w:sz w:val="36"/>
          <w:szCs w:val="36"/>
        </w:rPr>
        <w:t xml:space="preserve">PAGE 5  —  /explore  (TOOL EXPLORER)</w:t>
      </w:r>
    </w:p>
    <w:p>
      <w:pPr>
        <w:spacing w:before="200" w:after="60"/>
      </w:pPr>
      <w:r>
        <w:rPr>
          <w:rFonts w:ascii="Arial" w:cs="Arial" w:eastAsia="Arial" w:hAnsi="Arial"/>
          <w:b/>
          <w:bCs/>
          <w:color w:val="C9A84C"/>
          <w:sz w:val="16"/>
          <w:szCs w:val="16"/>
        </w:rPr>
        <w:t xml:space="preserve">PURPOSE</w:t>
      </w:r>
    </w:p>
    <w:p>
      <w:pPr>
        <w:spacing w:before="60" w:after="80"/>
        <w:jc w:val="left"/>
      </w:pPr>
      <w:r>
        <w:rPr>
          <w:rFonts w:ascii="Times New Roman" w:cs="Times New Roman" w:eastAsia="Times New Roman" w:hAnsi="Times New Roman"/>
          <w:color w:val="4A4238"/>
          <w:sz w:val="22"/>
          <w:szCs w:val="22"/>
        </w:rPr>
        <w:t xml:space="preserve">Engineers, students, and researchers browse and query deployed tools. This page must make the REGISTRY tangible and immediately useful — not a list, but a queryable library.</w:t>
      </w:r>
    </w:p>
    <w:p>
      <w:pPr>
        <w:spacing w:before="0" w:after="80"/>
      </w:pPr>
      <w:r>
        <w:t xml:space="preserve"/>
      </w:r>
    </w:p>
    <w:p>
      <w:pPr>
        <w:spacing w:before="200" w:after="60"/>
      </w:pPr>
      <w:r>
        <w:rPr>
          <w:rFonts w:ascii="Arial" w:cs="Arial" w:eastAsia="Arial" w:hAnsi="Arial"/>
          <w:b/>
          <w:bCs/>
          <w:color w:val="C9A84C"/>
          <w:sz w:val="16"/>
          <w:szCs w:val="16"/>
        </w:rPr>
        <w:t xml:space="preserve">PAGE HEADLINE</w:t>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1A1612"/>
                <w:sz w:val="28"/>
                <w:szCs w:val="28"/>
              </w:rPr>
              <w:t xml:space="preserve">Every tool here was built by a student.</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Every tool here passed 4 test cases, a physical hand-solve verification, and domain-expert review.</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4A4238"/>
                <w:sz w:val="22"/>
                <w:szCs w:val="22"/>
              </w:rPr>
              <w:t xml:space="preserve">Every tool here is queryable. Right now.</w:t>
            </w:r>
          </w:p>
        </w:tc>
      </w:tr>
    </w:tbl>
    <w:p>
      <w:pPr>
        <w:spacing w:before="0" w:after="80"/>
      </w:pPr>
      <w:r>
        <w:t xml:space="preserve"/>
      </w:r>
    </w:p>
    <w:p>
      <w:pPr>
        <w:spacing w:before="200" w:after="60"/>
      </w:pPr>
      <w:r>
        <w:rPr>
          <w:rFonts w:ascii="Arial" w:cs="Arial" w:eastAsia="Arial" w:hAnsi="Arial"/>
          <w:b/>
          <w:bCs/>
          <w:color w:val="C9A84C"/>
          <w:sz w:val="16"/>
          <w:szCs w:val="16"/>
        </w:rPr>
        <w:t xml:space="preserve">FILTER BAR — COMPONENTS</w:t>
      </w:r>
    </w:p>
    <w:p>
      <w:pPr>
        <w:spacing w:before="60" w:after="80"/>
        <w:jc w:val="left"/>
      </w:pPr>
      <w:r>
        <w:rPr>
          <w:rFonts w:ascii="Times New Roman" w:cs="Times New Roman" w:eastAsia="Times New Roman" w:hAnsi="Times New Roman"/>
          <w:color w:val="4A4238"/>
          <w:sz w:val="22"/>
          <w:szCs w:val="22"/>
        </w:rPr>
        <w:t xml:space="preserve">Display a filter bar with the following controls:</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Field: All / Structural / Biomedical / Energy / Computational</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Scale: All / NANO / MICRO / MESO / MACRO / MEGA</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Status: All / APPROVED / PENDING / CHAINED</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Sort by: Date (newest) / Accuracy (highest) / Chains (most connected)</w:t>
      </w:r>
    </w:p>
    <w:p>
      <w:pPr>
        <w:spacing w:before="0" w:after="80"/>
      </w:pPr>
      <w:r>
        <w:t xml:space="preserve"/>
      </w:r>
    </w:p>
    <w:p>
      <w:pPr>
        <w:spacing w:before="200" w:after="60"/>
      </w:pPr>
      <w:r>
        <w:rPr>
          <w:rFonts w:ascii="Arial" w:cs="Arial" w:eastAsia="Arial" w:hAnsi="Arial"/>
          <w:b/>
          <w:bCs/>
          <w:color w:val="C9A84C"/>
          <w:sz w:val="16"/>
          <w:szCs w:val="16"/>
        </w:rPr>
        <w:t xml:space="preserve">TOOL CARD LAYOUT — EACH CARD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ELEMENT</w:t>
            </w:r>
          </w:p>
        </w:tc>
        <w:tc>
          <w:tcPr>
            <w:tcW w:type="dxa" w:w="656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Tool ID</w:t>
            </w:r>
          </w:p>
        </w:tc>
        <w:tc>
          <w:tcPr>
            <w:tcW w:type="dxa" w:w="6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e.g. UINF-2024-STRUCT-0043</w:t>
            </w:r>
          </w:p>
        </w:tc>
      </w:tr>
      <w:tr>
        <w:tc>
          <w:tcPr>
            <w:tcW w:type="dxa" w:w="2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Tool Name</w:t>
            </w:r>
          </w:p>
        </w:tc>
        <w:tc>
          <w:tcPr>
            <w:tcW w:type="dxa" w:w="65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e.g. CNT Composite E_eff Calculator</w:t>
            </w:r>
          </w:p>
        </w:tc>
      </w:tr>
      <w:tr>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Field + Scale badge</w:t>
            </w:r>
          </w:p>
        </w:tc>
        <w:tc>
          <w:tcPr>
            <w:tcW w:type="dxa" w:w="6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e.g. STRUCTURAL · NANO</w:t>
            </w:r>
          </w:p>
        </w:tc>
      </w:tr>
      <w:tr>
        <w:tc>
          <w:tcPr>
            <w:tcW w:type="dxa" w:w="2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Status badge</w:t>
            </w:r>
          </w:p>
        </w:tc>
        <w:tc>
          <w:tcPr>
            <w:tcW w:type="dxa" w:w="65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APPROVED (green) / CHAINED (gold) / PENDING (grey)</w:t>
            </w:r>
          </w:p>
        </w:tc>
      </w:tr>
      <w:tr>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Source paper</w:t>
            </w:r>
          </w:p>
        </w:tc>
        <w:tc>
          <w:tcPr>
            <w:tcW w:type="dxa" w:w="6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Short cite: Mehta &amp; Sharma 2022</w:t>
            </w:r>
          </w:p>
        </w:tc>
      </w:tr>
      <w:tr>
        <w:tc>
          <w:tcPr>
            <w:tcW w:type="dxa" w:w="2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Accuracy score</w:t>
            </w:r>
          </w:p>
        </w:tc>
        <w:tc>
          <w:tcPr>
            <w:tcW w:type="dxa" w:w="65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e.g. R² = 0.91</w:t>
            </w:r>
          </w:p>
        </w:tc>
      </w:tr>
      <w:tr>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Chain connections</w:t>
            </w:r>
          </w:p>
        </w:tc>
        <w:tc>
          <w:tcPr>
            <w:tcW w:type="dxa" w:w="6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e.g. Feeds into: MICRO-0012, MESO-0007</w:t>
            </w:r>
          </w:p>
        </w:tc>
      </w:tr>
      <w:tr>
        <w:tc>
          <w:tcPr>
            <w:tcW w:type="dxa" w:w="2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Run button</w:t>
            </w:r>
          </w:p>
        </w:tc>
        <w:tc>
          <w:tcPr>
            <w:tcW w:type="dxa" w:w="65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RUN TOOL → (opens tool interface)</w:t>
            </w:r>
          </w:p>
        </w:tc>
      </w:tr>
    </w:tbl>
    <w:p>
      <w:pPr>
        <w:spacing w:before="0" w:after="80"/>
      </w:pPr>
      <w:r>
        <w:t xml:space="preserve"/>
      </w:r>
    </w:p>
    <w:p>
      <w:pPr>
        <w:spacing w:before="200" w:after="60"/>
      </w:pPr>
      <w:r>
        <w:rPr>
          <w:rFonts w:ascii="Arial" w:cs="Arial" w:eastAsia="Arial" w:hAnsi="Arial"/>
          <w:b/>
          <w:bCs/>
          <w:color w:val="C9A84C"/>
          <w:sz w:val="16"/>
          <w:szCs w:val="16"/>
        </w:rPr>
        <w:t xml:space="preserve">INDIVIDUAL TOOL PAGE — /EXPLORE/[TOOL_ID]</w:t>
      </w:r>
    </w:p>
    <w:p>
      <w:pPr>
        <w:spacing w:before="60" w:after="80"/>
        <w:jc w:val="left"/>
      </w:pPr>
      <w:r>
        <w:rPr>
          <w:rFonts w:ascii="Times New Roman" w:cs="Times New Roman" w:eastAsia="Times New Roman" w:hAnsi="Times New Roman"/>
          <w:color w:val="4A4238"/>
          <w:sz w:val="22"/>
          <w:szCs w:val="22"/>
        </w:rPr>
        <w:t xml:space="preserve">When a user clicks a tool, they see:</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Full paper citation with DOI link</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The governing equation the tool implements</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Input parameter form with valid ranges</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RUN button — executes the model live</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Output display with units and interpretation</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Test case results (TC1–TC4) as a pass/fail summary</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Knowledge Capture excerpt — what the student who built it learned</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Chain view — what tools this one feeds into and receives from</w:t>
      </w:r>
    </w:p>
    <w:p>
      <w:r>
        <w:br w:type="page"/>
      </w:r>
    </w:p>
    <w:p>
      <w:pPr>
        <w:pBdr>
          <w:bottom w:val="single" w:color="C9A84C" w:sz="6" w:space="4"/>
        </w:pBdr>
        <w:spacing w:before="400" w:after="160"/>
      </w:pPr>
      <w:r>
        <w:rPr>
          <w:rFonts w:ascii="Times New Roman" w:cs="Times New Roman" w:eastAsia="Times New Roman" w:hAnsi="Times New Roman"/>
          <w:b/>
          <w:bCs/>
          <w:color w:val="1A1612"/>
          <w:sz w:val="36"/>
          <w:szCs w:val="36"/>
        </w:rPr>
        <w:t xml:space="preserve">PAGE 6  —  /papers  (RESEARCH LIBRARY)</w:t>
      </w:r>
    </w:p>
    <w:p>
      <w:pPr>
        <w:spacing w:before="200" w:after="60"/>
      </w:pPr>
      <w:r>
        <w:rPr>
          <w:rFonts w:ascii="Arial" w:cs="Arial" w:eastAsia="Arial" w:hAnsi="Arial"/>
          <w:b/>
          <w:bCs/>
          <w:color w:val="C9A84C"/>
          <w:sz w:val="16"/>
          <w:szCs w:val="16"/>
        </w:rPr>
        <w:t xml:space="preserve">PURPOSE</w:t>
      </w:r>
    </w:p>
    <w:p>
      <w:pPr>
        <w:spacing w:before="60" w:after="80"/>
        <w:jc w:val="left"/>
      </w:pPr>
      <w:r>
        <w:rPr>
          <w:rFonts w:ascii="Times New Roman" w:cs="Times New Roman" w:eastAsia="Times New Roman" w:hAnsi="Times New Roman"/>
          <w:color w:val="4A4238"/>
          <w:sz w:val="22"/>
          <w:szCs w:val="22"/>
        </w:rPr>
        <w:t xml:space="preserve">Researchers and students browse the structured paper library. Every paper that enters the U Infinitum ecosystem is decomposed into a machine-readable, queryable record. This page makes that visible.</w:t>
      </w:r>
    </w:p>
    <w:p>
      <w:pPr>
        <w:spacing w:before="0" w:after="80"/>
      </w:pPr>
      <w:r>
        <w:t xml:space="preserve"/>
      </w:r>
    </w:p>
    <w:p>
      <w:pPr>
        <w:spacing w:before="200" w:after="60"/>
      </w:pPr>
      <w:r>
        <w:rPr>
          <w:rFonts w:ascii="Arial" w:cs="Arial" w:eastAsia="Arial" w:hAnsi="Arial"/>
          <w:b/>
          <w:bCs/>
          <w:color w:val="C9A84C"/>
          <w:sz w:val="16"/>
          <w:szCs w:val="16"/>
        </w:rPr>
        <w:t xml:space="preserve">PAGE HEADLINE</w:t>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1A1612"/>
                <w:sz w:val="28"/>
                <w:szCs w:val="28"/>
              </w:rPr>
              <w:t xml:space="preserve">A dead PDF teaches nothing.</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Every paper in this library has been disassembled: its equations extracted, its parameters validated, its test cases derived, its Socratic questions written. It is not a reference — it is a tool specification.</w:t>
            </w:r>
          </w:p>
        </w:tc>
      </w:tr>
    </w:tbl>
    <w:p>
      <w:pPr>
        <w:spacing w:before="0" w:after="80"/>
      </w:pPr>
      <w:r>
        <w:t xml:space="preserve"/>
      </w:r>
    </w:p>
    <w:p>
      <w:pPr>
        <w:spacing w:before="200" w:after="60"/>
      </w:pPr>
      <w:r>
        <w:rPr>
          <w:rFonts w:ascii="Arial" w:cs="Arial" w:eastAsia="Arial" w:hAnsi="Arial"/>
          <w:b/>
          <w:bCs/>
          <w:color w:val="C9A84C"/>
          <w:sz w:val="16"/>
          <w:szCs w:val="16"/>
        </w:rPr>
        <w:t xml:space="preserve">WHAT EACH PAPER RECORD CONTAINS — DISPLAY AS EXPANDABLE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
            </w:r>
          </w:p>
        </w:tc>
        <w:tc>
          <w:tcPr>
            <w:tcW w:type="dxa" w:w="24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LAYER NAME</w:t>
            </w:r>
          </w:p>
        </w:tc>
        <w:tc>
          <w:tcPr>
            <w:tcW w:type="dxa" w:w="576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CONTENTS</w:t>
            </w:r>
          </w:p>
        </w:tc>
      </w:tr>
      <w:tr>
        <w:tc>
          <w:tcPr>
            <w:tcW w:type="dxa" w:w="12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Layer 1</w:t>
            </w:r>
          </w:p>
        </w:tc>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Bibliographic Core</w:t>
            </w:r>
          </w:p>
        </w:tc>
        <w:tc>
          <w:tcPr>
            <w:tcW w:type="dxa" w:w="5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Title, authors, year, journal, DOI, field, sub-field, scale, access status</w:t>
            </w:r>
          </w:p>
        </w:tc>
      </w:tr>
      <w:tr>
        <w:tc>
          <w:tcPr>
            <w:tcW w:type="dxa" w:w="12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Layer 2</w:t>
            </w:r>
          </w:p>
        </w:tc>
        <w:tc>
          <w:tcPr>
            <w:tcW w:type="dxa" w:w="24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Conceptual Anatomy</w:t>
            </w:r>
          </w:p>
        </w:tc>
        <w:tc>
          <w:tcPr>
            <w:tcW w:type="dxa" w:w="57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Problem statement, core hypothesis, methodology, governing equations, validation data</w:t>
            </w:r>
          </w:p>
        </w:tc>
      </w:tr>
      <w:tr>
        <w:tc>
          <w:tcPr>
            <w:tcW w:type="dxa" w:w="12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Layer 3</w:t>
            </w:r>
          </w:p>
        </w:tc>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Numerical Payload</w:t>
            </w:r>
          </w:p>
        </w:tc>
        <w:tc>
          <w:tcPr>
            <w:tcW w:type="dxa" w:w="5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All parameters with valid ranges, threshold values, output variables, test case seed values</w:t>
            </w:r>
          </w:p>
        </w:tc>
      </w:tr>
      <w:tr>
        <w:tc>
          <w:tcPr>
            <w:tcW w:type="dxa" w:w="12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Layer 4</w:t>
            </w:r>
          </w:p>
        </w:tc>
        <w:tc>
          <w:tcPr>
            <w:tcW w:type="dxa" w:w="24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Tool Connection</w:t>
            </w:r>
          </w:p>
        </w:tc>
        <w:tc>
          <w:tcPr>
            <w:tcW w:type="dxa" w:w="57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Which tools implement this paper, chain connections, REGISTRY entries derived from this paper</w:t>
            </w:r>
          </w:p>
        </w:tc>
      </w:tr>
      <w:tr>
        <w:tc>
          <w:tcPr>
            <w:tcW w:type="dxa" w:w="12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Layer 5</w:t>
            </w:r>
          </w:p>
        </w:tc>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Pedagogy Record</w:t>
            </w:r>
          </w:p>
        </w:tc>
        <w:tc>
          <w:tcPr>
            <w:tcW w:type="dxa" w:w="57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Theory questions by difficulty, hand-solve problem, knowledge capture prompts, concept tags</w:t>
            </w:r>
          </w:p>
        </w:tc>
      </w:tr>
    </w:tbl>
    <w:p>
      <w:pPr>
        <w:spacing w:before="0" w:after="80"/>
      </w:pPr>
      <w:r>
        <w:t xml:space="preserve"/>
      </w:r>
    </w:p>
    <w:p>
      <w:pPr>
        <w:spacing w:before="200" w:after="60"/>
      </w:pPr>
      <w:r>
        <w:rPr>
          <w:rFonts w:ascii="Arial" w:cs="Arial" w:eastAsia="Arial" w:hAnsi="Arial"/>
          <w:b/>
          <w:bCs/>
          <w:color w:val="C9A84C"/>
          <w:sz w:val="16"/>
          <w:szCs w:val="16"/>
        </w:rPr>
        <w:t xml:space="preserve">FILTER CONTROLS</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Field: All / Structural / Biomedical / Energy / Computational</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Scale: All / NANO through MEGA</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Year range: slider</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Access: All / Open Access / Institutional</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Status: All / Has tools / Pending structurization</w:t>
      </w:r>
    </w:p>
    <w:p>
      <w:pPr>
        <w:spacing w:before="0" w:after="80"/>
      </w:pPr>
      <w:r>
        <w:t xml:space="preserve"/>
      </w:r>
    </w:p>
    <w:p>
      <w:pPr>
        <w:spacing w:before="200" w:after="60"/>
      </w:pPr>
      <w:r>
        <w:rPr>
          <w:rFonts w:ascii="Arial" w:cs="Arial" w:eastAsia="Arial" w:hAnsi="Arial"/>
          <w:b/>
          <w:bCs/>
          <w:color w:val="C9A84C"/>
          <w:sz w:val="16"/>
          <w:szCs w:val="16"/>
        </w:rPr>
        <w:t xml:space="preserve">PAPER CARD — EACH SHOWS</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Paper title + authors + year</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Field + Scale badges</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Problem statement (1 sentence)</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Number of tools built from this paper</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DOI link</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VIEW FULL RECORD → button</w:t>
      </w:r>
    </w:p>
    <w:p>
      <w:r>
        <w:br w:type="page"/>
      </w:r>
    </w:p>
    <w:p>
      <w:pPr>
        <w:pBdr>
          <w:bottom w:val="single" w:color="C9A84C" w:sz="6" w:space="4"/>
        </w:pBdr>
        <w:spacing w:before="400" w:after="160"/>
      </w:pPr>
      <w:r>
        <w:rPr>
          <w:rFonts w:ascii="Times New Roman" w:cs="Times New Roman" w:eastAsia="Times New Roman" w:hAnsi="Times New Roman"/>
          <w:b/>
          <w:bCs/>
          <w:color w:val="1A1612"/>
          <w:sz w:val="36"/>
          <w:szCs w:val="36"/>
        </w:rPr>
        <w:t xml:space="preserve">PAGE 7  —  /registry  (THE REGISTRY)</w:t>
      </w:r>
    </w:p>
    <w:p>
      <w:pPr>
        <w:spacing w:before="200" w:after="60"/>
      </w:pPr>
      <w:r>
        <w:rPr>
          <w:rFonts w:ascii="Arial" w:cs="Arial" w:eastAsia="Arial" w:hAnsi="Arial"/>
          <w:b/>
          <w:bCs/>
          <w:color w:val="C9A84C"/>
          <w:sz w:val="16"/>
          <w:szCs w:val="16"/>
        </w:rPr>
        <w:t xml:space="preserve">PURPOSE</w:t>
      </w:r>
    </w:p>
    <w:p>
      <w:pPr>
        <w:spacing w:before="60" w:after="80"/>
        <w:jc w:val="left"/>
      </w:pPr>
      <w:r>
        <w:rPr>
          <w:rFonts w:ascii="Times New Roman" w:cs="Times New Roman" w:eastAsia="Times New Roman" w:hAnsi="Times New Roman"/>
          <w:color w:val="4A4238"/>
          <w:sz w:val="22"/>
          <w:szCs w:val="22"/>
        </w:rPr>
        <w:t xml:space="preserve">Technical visitors who want to understand the architecture. The REGISTRY is a live graph of all tools and their scale-chain connections. This page visualises that graph and explains what it represents.</w:t>
      </w:r>
    </w:p>
    <w:p>
      <w:pPr>
        <w:spacing w:before="0" w:after="80"/>
      </w:pPr>
      <w:r>
        <w:t xml:space="preserve"/>
      </w:r>
    </w:p>
    <w:p>
      <w:pPr>
        <w:spacing w:before="200" w:after="60"/>
      </w:pPr>
      <w:r>
        <w:rPr>
          <w:rFonts w:ascii="Arial" w:cs="Arial" w:eastAsia="Arial" w:hAnsi="Arial"/>
          <w:b/>
          <w:bCs/>
          <w:color w:val="C9A84C"/>
          <w:sz w:val="16"/>
          <w:szCs w:val="16"/>
        </w:rPr>
        <w:t xml:space="preserve">PAGE HEADLINE</w:t>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1A1612"/>
                <w:sz w:val="28"/>
                <w:szCs w:val="28"/>
              </w:rPr>
              <w:t xml:space="preserve">The REGISTRY is not a portfolio.</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It is a connected intelligence. Each node is a validated tool. Each edge is a data handoff — one tool's output becoming another tool's input across a change of scale. The graph grows with every session.</w:t>
            </w:r>
          </w:p>
        </w:tc>
      </w:tr>
    </w:tbl>
    <w:p>
      <w:pPr>
        <w:spacing w:before="0" w:after="80"/>
      </w:pPr>
      <w:r>
        <w:t xml:space="preserve"/>
      </w:r>
    </w:p>
    <w:p>
      <w:pPr>
        <w:spacing w:before="200" w:after="60"/>
      </w:pPr>
      <w:r>
        <w:rPr>
          <w:rFonts w:ascii="Arial" w:cs="Arial" w:eastAsia="Arial" w:hAnsi="Arial"/>
          <w:b/>
          <w:bCs/>
          <w:color w:val="C9A84C"/>
          <w:sz w:val="16"/>
          <w:szCs w:val="16"/>
        </w:rPr>
        <w:t xml:space="preserve">LIVE GRAPH — DISPLAY INSTRUCTIONS</w:t>
      </w:r>
    </w:p>
    <w:p>
      <w:pPr>
        <w:spacing w:before="60" w:after="80"/>
        <w:jc w:val="left"/>
      </w:pPr>
      <w:r>
        <w:rPr>
          <w:rFonts w:ascii="Times New Roman" w:cs="Times New Roman" w:eastAsia="Times New Roman" w:hAnsi="Times New Roman"/>
          <w:color w:val="4A4238"/>
          <w:sz w:val="22"/>
          <w:szCs w:val="22"/>
        </w:rPr>
        <w:t xml:space="preserve">Render an interactive force-directed graph:</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Each node = one tool. Node size = accuracy score. Node color = field.</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Each edge = scale-chain connection. Directed arrows show data flow direction.</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Clicking a node opens the tool's /explore/[tool_id] page.</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Filter controls: by field, by scale, by cohort.</w:t>
      </w:r>
    </w:p>
    <w:p>
      <w:pPr>
        <w:spacing w:before="0" w:after="80"/>
      </w:pPr>
      <w:r>
        <w:t xml:space="preserve"/>
      </w:r>
    </w:p>
    <w:p>
      <w:pPr>
        <w:spacing w:before="200" w:after="60"/>
      </w:pPr>
      <w:r>
        <w:rPr>
          <w:rFonts w:ascii="Arial" w:cs="Arial" w:eastAsia="Arial" w:hAnsi="Arial"/>
          <w:b/>
          <w:bCs/>
          <w:color w:val="C9A84C"/>
          <w:sz w:val="16"/>
          <w:szCs w:val="16"/>
        </w:rPr>
        <w:t xml:space="preserve">STATS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STAT</w:t>
            </w:r>
          </w:p>
        </w:tc>
        <w:tc>
          <w:tcPr>
            <w:tcW w:type="dxa" w:w="636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DATA SOURCE</w:t>
            </w:r>
          </w:p>
        </w:tc>
      </w:tr>
      <w:tr>
        <w:tc>
          <w:tcPr>
            <w:tcW w:type="dxa" w:w="30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Total Tools</w:t>
            </w:r>
          </w:p>
        </w:tc>
        <w:tc>
          <w:tcPr>
            <w:tcW w:type="dxa" w:w="63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Live count from REGISTRY</w:t>
            </w:r>
          </w:p>
        </w:tc>
      </w:tr>
      <w:tr>
        <w:tc>
          <w:tcPr>
            <w:tcW w:type="dxa" w:w="30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Total Edges (chains)</w:t>
            </w:r>
          </w:p>
        </w:tc>
        <w:tc>
          <w:tcPr>
            <w:tcW w:type="dxa" w:w="63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Live count</w:t>
            </w:r>
          </w:p>
        </w:tc>
      </w:tr>
      <w:tr>
        <w:tc>
          <w:tcPr>
            <w:tcW w:type="dxa" w:w="30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Fields Covered</w:t>
            </w:r>
          </w:p>
        </w:tc>
        <w:tc>
          <w:tcPr>
            <w:tcW w:type="dxa" w:w="63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4</w:t>
            </w:r>
          </w:p>
        </w:tc>
      </w:tr>
      <w:tr>
        <w:tc>
          <w:tcPr>
            <w:tcW w:type="dxa" w:w="30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Scales Covered</w:t>
            </w:r>
          </w:p>
        </w:tc>
        <w:tc>
          <w:tcPr>
            <w:tcW w:type="dxa" w:w="63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NANO through MEGA</w:t>
            </w:r>
          </w:p>
        </w:tc>
      </w:tr>
      <w:tr>
        <w:tc>
          <w:tcPr>
            <w:tcW w:type="dxa" w:w="30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Approval Rate</w:t>
            </w:r>
          </w:p>
        </w:tc>
        <w:tc>
          <w:tcPr>
            <w:tcW w:type="dxa" w:w="63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 of sessions that produced APPROVED tools</w:t>
            </w:r>
          </w:p>
        </w:tc>
      </w:tr>
      <w:tr>
        <w:tc>
          <w:tcPr>
            <w:tcW w:type="dxa" w:w="30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Longest Chain</w:t>
            </w:r>
          </w:p>
        </w:tc>
        <w:tc>
          <w:tcPr>
            <w:tcW w:type="dxa" w:w="63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Most connected tool sequence to date</w:t>
            </w:r>
          </w:p>
        </w:tc>
      </w:tr>
    </w:tbl>
    <w:p>
      <w:pPr>
        <w:spacing w:before="0" w:after="80"/>
      </w:pPr>
      <w:r>
        <w:t xml:space="preserve"/>
      </w:r>
    </w:p>
    <w:p>
      <w:pPr>
        <w:spacing w:before="200" w:after="60"/>
      </w:pPr>
      <w:r>
        <w:rPr>
          <w:rFonts w:ascii="Arial" w:cs="Arial" w:eastAsia="Arial" w:hAnsi="Arial"/>
          <w:b/>
          <w:bCs/>
          <w:color w:val="C9A84C"/>
          <w:sz w:val="16"/>
          <w:szCs w:val="16"/>
        </w:rPr>
        <w:t xml:space="preserve">WHAT A CHAIN LOOKS LIKE — EXAMPLE TO DISPLAY</w:t>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C9A84C"/>
                <w:sz w:val="26"/>
                <w:szCs w:val="26"/>
              </w:rPr>
              <w:t xml:space="preserve">NANO → MICRO → MESO → MEGA</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1A1612"/>
                <w:sz w:val="22"/>
                <w:szCs w:val="22"/>
              </w:rPr>
              <w:t xml:space="preserve">CNT E_eff Calculator  (Mehta &amp; Sharma 2022)</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iCs/>
                <w:color w:val="888888"/>
                <w:sz w:val="20"/>
                <w:szCs w:val="20"/>
              </w:rPr>
              <w:t xml:space="preserve">↓  outputs effective modulus  →  feeds into</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1A1612"/>
                <w:sz w:val="22"/>
                <w:szCs w:val="22"/>
              </w:rPr>
              <w:t xml:space="preserve">RVE Homogenization Tool  (microstructure → beam properties)</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iCs/>
                <w:color w:val="888888"/>
                <w:sz w:val="20"/>
                <w:szCs w:val="20"/>
              </w:rPr>
              <w:t xml:space="preserve">↓  outputs beam stiffness  →  feeds into</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1A1612"/>
                <w:sz w:val="22"/>
                <w:szCs w:val="22"/>
              </w:rPr>
              <w:t xml:space="preserve">Beam Deflection Predictor  (MESO structural analysis)</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iCs/>
                <w:color w:val="888888"/>
                <w:sz w:val="20"/>
                <w:szCs w:val="20"/>
              </w:rPr>
              <w:t xml:space="preserve">↓  outputs max deflection  →  feeds into</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1A1612"/>
                <w:sz w:val="22"/>
                <w:szCs w:val="22"/>
              </w:rPr>
              <w:t xml:space="preserve">Bridge Girder Design Validator  (MEGA — full structural system)</w:t>
            </w:r>
          </w:p>
        </w:tc>
      </w:tr>
    </w:tbl>
    <w:p>
      <w:r>
        <w:br w:type="page"/>
      </w:r>
    </w:p>
    <w:p>
      <w:pPr>
        <w:pBdr>
          <w:bottom w:val="single" w:color="C9A84C" w:sz="6" w:space="4"/>
        </w:pBdr>
        <w:spacing w:before="400" w:after="160"/>
      </w:pPr>
      <w:r>
        <w:rPr>
          <w:rFonts w:ascii="Times New Roman" w:cs="Times New Roman" w:eastAsia="Times New Roman" w:hAnsi="Times New Roman"/>
          <w:b/>
          <w:bCs/>
          <w:color w:val="1A1612"/>
          <w:sz w:val="36"/>
          <w:szCs w:val="36"/>
        </w:rPr>
        <w:t xml:space="preserve">PAGE 8  —  /cohorts  (COHORT HISTORY)</w:t>
      </w:r>
    </w:p>
    <w:p>
      <w:pPr>
        <w:spacing w:before="200" w:after="60"/>
      </w:pPr>
      <w:r>
        <w:rPr>
          <w:rFonts w:ascii="Arial" w:cs="Arial" w:eastAsia="Arial" w:hAnsi="Arial"/>
          <w:b/>
          <w:bCs/>
          <w:color w:val="C9A84C"/>
          <w:sz w:val="16"/>
          <w:szCs w:val="16"/>
        </w:rPr>
        <w:t xml:space="preserve">PURPOSE</w:t>
      </w:r>
    </w:p>
    <w:p>
      <w:pPr>
        <w:spacing w:before="60" w:after="80"/>
        <w:jc w:val="left"/>
      </w:pPr>
      <w:r>
        <w:rPr>
          <w:rFonts w:ascii="Times New Roman" w:cs="Times New Roman" w:eastAsia="Times New Roman" w:hAnsi="Times New Roman"/>
          <w:color w:val="4A4238"/>
          <w:sz w:val="22"/>
          <w:szCs w:val="22"/>
        </w:rPr>
        <w:t xml:space="preserve">Institutional partners, employers, and faculty evaluating the program. This page shows who has participated, what they produced, and how the program has grown. No marketing — only data.</w:t>
      </w:r>
    </w:p>
    <w:p>
      <w:pPr>
        <w:spacing w:before="0" w:after="80"/>
      </w:pPr>
      <w:r>
        <w:t xml:space="preserve"/>
      </w:r>
    </w:p>
    <w:p>
      <w:pPr>
        <w:spacing w:before="200" w:after="60"/>
      </w:pPr>
      <w:r>
        <w:rPr>
          <w:rFonts w:ascii="Arial" w:cs="Arial" w:eastAsia="Arial" w:hAnsi="Arial"/>
          <w:b/>
          <w:bCs/>
          <w:color w:val="C9A84C"/>
          <w:sz w:val="16"/>
          <w:szCs w:val="16"/>
        </w:rPr>
        <w:t xml:space="preserve">PAGE HEADLINE</w:t>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1A1612"/>
                <w:sz w:val="28"/>
                <w:szCs w:val="28"/>
              </w:rPr>
              <w:t xml:space="preserve">Every cohort is on record.</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Every tool, every score, every paper. Queryable. Verifiable.</w:t>
            </w:r>
          </w:p>
        </w:tc>
      </w:tr>
    </w:tbl>
    <w:p>
      <w:pPr>
        <w:spacing w:before="0" w:after="80"/>
      </w:pPr>
      <w:r>
        <w:t xml:space="preserve"/>
      </w:r>
    </w:p>
    <w:p>
      <w:pPr>
        <w:spacing w:before="200" w:after="60"/>
      </w:pPr>
      <w:r>
        <w:rPr>
          <w:rFonts w:ascii="Arial" w:cs="Arial" w:eastAsia="Arial" w:hAnsi="Arial"/>
          <w:b/>
          <w:bCs/>
          <w:color w:val="C9A84C"/>
          <w:sz w:val="16"/>
          <w:szCs w:val="16"/>
        </w:rPr>
        <w:t xml:space="preserve">COHORT TABLE — DISPLAY AS EXPANDABLE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COHORT</w:t>
            </w:r>
          </w:p>
        </w:tc>
        <w:tc>
          <w:tcPr>
            <w:tcW w:type="dxa" w:w="356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SUMMARY</w:t>
            </w:r>
          </w:p>
        </w:tc>
        <w:tc>
          <w:tcPr>
            <w:tcW w:type="dxa" w:w="40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SCOPE</w:t>
            </w:r>
          </w:p>
        </w:tc>
      </w:tr>
      <w:tr>
        <w:tc>
          <w:tcPr>
            <w:tcW w:type="dxa" w:w="1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Cohort 1</w:t>
            </w:r>
          </w:p>
        </w:tc>
        <w:tc>
          <w:tcPr>
            <w:tcW w:type="dxa" w:w="3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12 students · 1 field each · Mixed formats</w:t>
            </w:r>
          </w:p>
        </w:tc>
        <w:tc>
          <w:tcPr>
            <w:tcW w:type="dxa" w:w="40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Months 1–4 · 12 tools deployed · Target: 1 tool per student</w:t>
            </w:r>
          </w:p>
        </w:tc>
      </w:tr>
      <w:tr>
        <w:tc>
          <w:tcPr>
            <w:tcW w:type="dxa" w:w="1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Cohort 2</w:t>
            </w:r>
          </w:p>
        </w:tc>
        <w:tc>
          <w:tcPr>
            <w:tcW w:type="dxa" w:w="35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16 students · Course format · 2-tool chains</w:t>
            </w:r>
          </w:p>
        </w:tc>
        <w:tc>
          <w:tcPr>
            <w:tcW w:type="dxa" w:w="40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Months 5–6 · First chained tools · Peer facilitation begins</w:t>
            </w:r>
          </w:p>
        </w:tc>
      </w:tr>
      <w:tr>
        <w:tc>
          <w:tcPr>
            <w:tcW w:type="dxa" w:w="1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Cohort 3</w:t>
            </w:r>
          </w:p>
        </w:tc>
        <w:tc>
          <w:tcPr>
            <w:tcW w:type="dxa" w:w="3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20 students · 5 chains · Gap-filling topics</w:t>
            </w:r>
          </w:p>
        </w:tc>
        <w:tc>
          <w:tcPr>
            <w:tcW w:type="dxa" w:w="40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Months 7–8 · Cross-scale chains · Structured knowledge gaps addressed</w:t>
            </w:r>
          </w:p>
        </w:tc>
      </w:tr>
      <w:tr>
        <w:tc>
          <w:tcPr>
            <w:tcW w:type="dxa" w:w="1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Cohort 4</w:t>
            </w:r>
          </w:p>
        </w:tc>
        <w:tc>
          <w:tcPr>
            <w:tcW w:type="dxa" w:w="35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24 students · Hackathon + Course · Specialised</w:t>
            </w:r>
          </w:p>
        </w:tc>
        <w:tc>
          <w:tcPr>
            <w:tcW w:type="dxa" w:w="40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Months 9–10 · Advanced topics · Cohort 1 alumni as peer facilitators</w:t>
            </w:r>
          </w:p>
        </w:tc>
      </w:tr>
      <w:tr>
        <w:tc>
          <w:tcPr>
            <w:tcW w:type="dxa" w:w="1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Cohort 5</w:t>
            </w:r>
          </w:p>
        </w:tc>
        <w:tc>
          <w:tcPr>
            <w:tcW w:type="dxa" w:w="3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28 students · All formats · Full scale test</w:t>
            </w:r>
          </w:p>
        </w:tc>
        <w:tc>
          <w:tcPr>
            <w:tcW w:type="dxa" w:w="40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Months 11–12 · Scalability validation · Full pipeline automation</w:t>
            </w:r>
          </w:p>
        </w:tc>
      </w:tr>
    </w:tbl>
    <w:p>
      <w:pPr>
        <w:spacing w:before="0" w:after="80"/>
      </w:pPr>
      <w:r>
        <w:t xml:space="preserve"/>
      </w:r>
    </w:p>
    <w:p>
      <w:pPr>
        <w:spacing w:before="200" w:after="60"/>
      </w:pPr>
      <w:r>
        <w:rPr>
          <w:rFonts w:ascii="Arial" w:cs="Arial" w:eastAsia="Arial" w:hAnsi="Arial"/>
          <w:b/>
          <w:bCs/>
          <w:color w:val="C9A84C"/>
          <w:sz w:val="16"/>
          <w:szCs w:val="16"/>
        </w:rPr>
        <w:t xml:space="preserve">METRICS TO DISPLAY PER COHORT</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Number of students enrolled</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Number of tools APPROVED vs VOID</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Average accuracy score by field</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Number of chains formed</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Top-performing tool (by accuracy + chain connections)</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Student satisfaction score (post-session survey)</w:t>
      </w:r>
    </w:p>
    <w:p>
      <w:pPr>
        <w:spacing w:before="0" w:after="80"/>
      </w:pPr>
      <w:r>
        <w:t xml:space="preserve"/>
      </w:r>
    </w:p>
    <w:p>
      <w:pPr>
        <w:spacing w:before="200" w:after="60"/>
      </w:pPr>
      <w:r>
        <w:rPr>
          <w:rFonts w:ascii="Arial" w:cs="Arial" w:eastAsia="Arial" w:hAnsi="Arial"/>
          <w:b/>
          <w:bCs/>
          <w:color w:val="C9A84C"/>
          <w:sz w:val="16"/>
          <w:szCs w:val="16"/>
        </w:rPr>
        <w:t xml:space="preserve">INDIVIDUAL COHORT PAGE — /COHORTS/[COHORT_ID]</w:t>
      </w:r>
    </w:p>
    <w:p>
      <w:pPr>
        <w:spacing w:before="60" w:after="80"/>
        <w:jc w:val="left"/>
      </w:pPr>
      <w:r>
        <w:rPr>
          <w:rFonts w:ascii="Times New Roman" w:cs="Times New Roman" w:eastAsia="Times New Roman" w:hAnsi="Times New Roman"/>
          <w:color w:val="4A4238"/>
          <w:sz w:val="22"/>
          <w:szCs w:val="22"/>
        </w:rPr>
        <w:t xml:space="preserve">Each cohort page shows a roster of anonymised student profiles with:</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Field and scale assigned</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Tool deployed (links to /explore/[tool_id])</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Score breakdown across 5 pillars</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Paper used</w:t>
      </w:r>
    </w:p>
    <w:p>
      <w:r>
        <w:br w:type="page"/>
      </w:r>
    </w:p>
    <w:p>
      <w:pPr>
        <w:pBdr>
          <w:bottom w:val="single" w:color="C9A84C" w:sz="6" w:space="4"/>
        </w:pBdr>
        <w:spacing w:before="400" w:after="160"/>
      </w:pPr>
      <w:r>
        <w:rPr>
          <w:rFonts w:ascii="Times New Roman" w:cs="Times New Roman" w:eastAsia="Times New Roman" w:hAnsi="Times New Roman"/>
          <w:b/>
          <w:bCs/>
          <w:color w:val="1A1612"/>
          <w:sz w:val="36"/>
          <w:szCs w:val="36"/>
        </w:rPr>
        <w:t xml:space="preserve">PAGE 9  —  /about  (WHAT IS U INFINITUM)</w:t>
      </w:r>
    </w:p>
    <w:p>
      <w:pPr>
        <w:spacing w:before="200" w:after="60"/>
      </w:pPr>
      <w:r>
        <w:rPr>
          <w:rFonts w:ascii="Arial" w:cs="Arial" w:eastAsia="Arial" w:hAnsi="Arial"/>
          <w:b/>
          <w:bCs/>
          <w:color w:val="C9A84C"/>
          <w:sz w:val="16"/>
          <w:szCs w:val="16"/>
        </w:rPr>
        <w:t xml:space="preserve">PURPOSE</w:t>
      </w:r>
    </w:p>
    <w:p>
      <w:pPr>
        <w:spacing w:before="60" w:after="80"/>
        <w:jc w:val="left"/>
      </w:pPr>
      <w:r>
        <w:rPr>
          <w:rFonts w:ascii="Times New Roman" w:cs="Times New Roman" w:eastAsia="Times New Roman" w:hAnsi="Times New Roman"/>
          <w:color w:val="4A4238"/>
          <w:sz w:val="22"/>
          <w:szCs w:val="22"/>
        </w:rPr>
        <w:t xml:space="preserve">First-time visitors who need context — faculty, journalists, potential partners. The page must communicate what the program is, why it exists, and what makes it structurally different from other programs — without marketing language.</w:t>
      </w:r>
    </w:p>
    <w:p>
      <w:pPr>
        <w:spacing w:before="0" w:after="80"/>
      </w:pPr>
      <w:r>
        <w:t xml:space="preserve"/>
      </w:r>
    </w:p>
    <w:p>
      <w:pPr>
        <w:spacing w:before="200" w:after="60"/>
      </w:pPr>
      <w:r>
        <w:rPr>
          <w:rFonts w:ascii="Arial" w:cs="Arial" w:eastAsia="Arial" w:hAnsi="Arial"/>
          <w:b/>
          <w:bCs/>
          <w:color w:val="C9A84C"/>
          <w:sz w:val="16"/>
          <w:szCs w:val="16"/>
        </w:rPr>
        <w:t xml:space="preserve">OPENING STATEMENT</w:t>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1A1612"/>
                <w:sz w:val="32"/>
                <w:szCs w:val="32"/>
              </w:rPr>
              <w:t xml:space="preserve">U Infinitum does one thing.</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It takes students with domain knowledge and gives them a structured environment to convert that knowledge into validated, deployed engineering tools — anchored in real research papers, verified by physical hand-solve, and tested against adversarial inputs.</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The tools are live. The REGISTRY is public. The standard is the same for every student in every session.</w:t>
            </w:r>
          </w:p>
        </w:tc>
      </w:tr>
    </w:tbl>
    <w:p>
      <w:pPr>
        <w:spacing w:before="0" w:after="80"/>
      </w:pPr>
      <w:r>
        <w:t xml:space="preserve"/>
      </w:r>
    </w:p>
    <w:p>
      <w:pPr>
        <w:spacing w:before="200" w:after="60"/>
      </w:pPr>
      <w:r>
        <w:rPr>
          <w:rFonts w:ascii="Arial" w:cs="Arial" w:eastAsia="Arial" w:hAnsi="Arial"/>
          <w:b/>
          <w:bCs/>
          <w:color w:val="C9A84C"/>
          <w:sz w:val="16"/>
          <w:szCs w:val="16"/>
        </w:rPr>
        <w:t xml:space="preserve">WHAT MAKES THIS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AA3333"/>
                <w:sz w:val="20"/>
                <w:szCs w:val="20"/>
              </w:rPr>
              <w:t xml:space="preserve">Standard ML courses</w:t>
            </w:r>
          </w:p>
        </w:tc>
        <w:tc>
          <w:tcPr>
            <w:tcW w:type="dxa" w:w="6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Teach model architectures on cleaned datasets. Student produces code that runs. Code is submitted. Grade is given. Nothing is deployed.</w:t>
            </w:r>
          </w:p>
        </w:tc>
      </w:tr>
      <w:tr>
        <w:tc>
          <w:tcPr>
            <w:tcW w:type="dxa" w:w="2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5C2E"/>
                <w:sz w:val="20"/>
                <w:szCs w:val="20"/>
              </w:rPr>
              <w:t xml:space="preserve">U Infinitum</w:t>
            </w:r>
          </w:p>
        </w:tc>
        <w:tc>
          <w:tcPr>
            <w:tcW w:type="dxa" w:w="65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Student builds a tool rooted in a specific paper, validates it physically before coding, passes adversarial test cases, and deploys it to a public REGISTRY that real engineers query.</w:t>
            </w:r>
          </w:p>
        </w:tc>
      </w:tr>
      <w:tr>
        <w:tc>
          <w:tcPr>
            <w:tcW w:type="dxa" w:w="2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AA3333"/>
                <w:sz w:val="20"/>
                <w:szCs w:val="20"/>
              </w:rPr>
              <w:t xml:space="preserve">Standard research programmes</w:t>
            </w:r>
          </w:p>
        </w:tc>
        <w:tc>
          <w:tcPr>
            <w:tcW w:type="dxa" w:w="65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Research stays in papers. Papers stay in journals. Journals stay behind paywalls. The tool is never built.</w:t>
            </w:r>
          </w:p>
        </w:tc>
      </w:tr>
      <w:tr>
        <w:tc>
          <w:tcPr>
            <w:tcW w:type="dxa" w:w="2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5C2E"/>
                <w:sz w:val="20"/>
                <w:szCs w:val="20"/>
              </w:rPr>
              <w:t xml:space="preserve">U Infinitum</w:t>
            </w:r>
          </w:p>
        </w:tc>
        <w:tc>
          <w:tcPr>
            <w:tcW w:type="dxa" w:w="65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The paper becomes a living tool. The tool feeds into a chain. The chain solves multi-scale problems that no single tool could. The knowledge compounds.</w:t>
            </w:r>
          </w:p>
        </w:tc>
      </w:tr>
    </w:tbl>
    <w:p>
      <w:pPr>
        <w:spacing w:before="0" w:after="80"/>
      </w:pPr>
      <w:r>
        <w:t xml:space="preserve"/>
      </w:r>
    </w:p>
    <w:p>
      <w:pPr>
        <w:spacing w:before="200" w:after="60"/>
      </w:pPr>
      <w:r>
        <w:rPr>
          <w:rFonts w:ascii="Arial" w:cs="Arial" w:eastAsia="Arial" w:hAnsi="Arial"/>
          <w:b/>
          <w:bCs/>
          <w:color w:val="C9A84C"/>
          <w:sz w:val="16"/>
          <w:szCs w:val="16"/>
        </w:rPr>
        <w:t xml:space="preserve">THE ARCHITECTURE IN ONE PARAGRAPH</w:t>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Every paper is structurised into a five-layer record: bibliographic identity, conceptual anatomy, numerical parameters, tool connections, and pedagogy data. The Question Engine reads this record and drives the student session — Socratic questions, parameter validation, notebook generation. The student's output is validated by automated test cases and a human facilitator. Approved tools enter the REGISTRY as nodes in a connected graph. The graph grows with every cohort. The chain runs that visitors execute on the home page are real — they query real tools, built by real students, from real papers.</w:t>
            </w:r>
          </w:p>
        </w:tc>
      </w:tr>
    </w:tbl>
    <w:p>
      <w:pPr>
        <w:spacing w:before="0" w:after="80"/>
      </w:pPr>
      <w:r>
        <w:t xml:space="preserve"/>
      </w:r>
    </w:p>
    <w:p>
      <w:pPr>
        <w:spacing w:before="200" w:after="60"/>
      </w:pPr>
      <w:r>
        <w:rPr>
          <w:rFonts w:ascii="Arial" w:cs="Arial" w:eastAsia="Arial" w:hAnsi="Arial"/>
          <w:b/>
          <w:bCs/>
          <w:color w:val="C9A84C"/>
          <w:sz w:val="16"/>
          <w:szCs w:val="16"/>
        </w:rPr>
        <w:t xml:space="preserve">PROGRAM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FORMAT</w:t>
            </w:r>
          </w:p>
        </w:tc>
        <w:tc>
          <w:tcPr>
            <w:tcW w:type="dxa" w:w="180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DURATION</w:t>
            </w:r>
          </w:p>
        </w:tc>
        <w:tc>
          <w:tcPr>
            <w:tcW w:type="dxa" w:w="5160"/>
            <w:tcBorders>
              <w:top w:val="single" w:color="CCCCCC" w:sz="1"/>
              <w:left w:val="single" w:color="CCCCCC" w:sz="1"/>
              <w:bottom w:val="single" w:color="CCCCCC" w:sz="1"/>
              <w:right w:val="single" w:color="CCCCCC" w:sz="1"/>
            </w:tcBorders>
            <w:shd w:fill="1A1612" w:val="clear"/>
            <w:tcMar>
              <w:top w:type="dxa" w:w="80"/>
              <w:left w:type="dxa" w:w="120"/>
              <w:bottom w:type="dxa" w:w="80"/>
              <w:right w:type="dxa" w:w="120"/>
            </w:tcMar>
          </w:tcPr>
          <w:p>
            <w:r>
              <w:rPr>
                <w:rFonts w:ascii="Arial" w:cs="Arial" w:eastAsia="Arial" w:hAnsi="Arial"/>
                <w:b/>
                <w:bCs/>
                <w:color w:val="F2EDE6"/>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90-Minute Hackathon</w:t>
            </w:r>
          </w:p>
        </w:tc>
        <w:tc>
          <w:tcPr>
            <w:tcW w:type="dxa" w:w="1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1.5 hours</w:t>
            </w:r>
          </w:p>
        </w:tc>
        <w:tc>
          <w:tcPr>
            <w:tcW w:type="dxa" w:w="51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First-time builders. Events. One tool per student.</w:t>
            </w:r>
          </w:p>
        </w:tc>
      </w:tr>
      <w:tr>
        <w:tc>
          <w:tcPr>
            <w:tcW w:type="dxa" w:w="24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3-Week Course</w:t>
            </w:r>
          </w:p>
        </w:tc>
        <w:tc>
          <w:tcPr>
            <w:tcW w:type="dxa" w:w="180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6 sessions</w:t>
            </w:r>
          </w:p>
        </w:tc>
        <w:tc>
          <w:tcPr>
            <w:tcW w:type="dxa" w:w="5160"/>
            <w:tcBorders>
              <w:top w:val="single" w:color="CCCCCC" w:sz="1"/>
              <w:left w:val="single" w:color="CCCCCC" w:sz="1"/>
              <w:bottom w:val="single" w:color="CCCCCC" w:sz="1"/>
              <w:right w:val="single" w:color="CCCCCC" w:sz="1"/>
            </w:tcBorders>
            <w:shd w:fill="E8E2D9"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Deep learning. Peer collaboration. Chained tools.</w:t>
            </w:r>
          </w:p>
        </w:tc>
      </w:tr>
      <w:tr>
        <w:tc>
          <w:tcPr>
            <w:tcW w:type="dxa" w:w="24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bCs/>
                <w:color w:val="1A1612"/>
                <w:sz w:val="20"/>
                <w:szCs w:val="20"/>
              </w:rPr>
              <w:t xml:space="preserve">2-Day Workshop</w:t>
            </w:r>
          </w:p>
        </w:tc>
        <w:tc>
          <w:tcPr>
            <w:tcW w:type="dxa" w:w="180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10 hours</w:t>
            </w:r>
          </w:p>
        </w:tc>
        <w:tc>
          <w:tcPr>
            <w:tcW w:type="dxa" w:w="5160"/>
            <w:tcBorders>
              <w:top w:val="single" w:color="CCCCCC" w:sz="1"/>
              <w:left w:val="single" w:color="CCCCCC" w:sz="1"/>
              <w:bottom w:val="single" w:color="CCCCCC" w:sz="1"/>
              <w:right w:val="single" w:color="CCCCCC" w:sz="1"/>
            </w:tcBorders>
            <w:shd w:fill="F2EDE6" w:val="clear"/>
            <w:tcMar>
              <w:top w:type="dxa" w:w="80"/>
              <w:left w:type="dxa" w:w="120"/>
              <w:bottom w:type="dxa" w:w="80"/>
              <w:right w:type="dxa" w:w="120"/>
            </w:tcMar>
          </w:tcPr>
          <w:p>
            <w:r>
              <w:rPr>
                <w:rFonts w:ascii="Times New Roman" w:cs="Times New Roman" w:eastAsia="Times New Roman" w:hAnsi="Times New Roman"/>
                <w:b w:val="false"/>
                <w:bCs w:val="false"/>
                <w:color w:val="1A1612"/>
                <w:sz w:val="20"/>
                <w:szCs w:val="20"/>
              </w:rPr>
              <w:t xml:space="preserve">Professional upskilling. Complex tools. Advanced chains.</w:t>
            </w:r>
          </w:p>
        </w:tc>
      </w:tr>
    </w:tbl>
    <w:p>
      <w:pPr>
        <w:spacing w:before="0" w:after="80"/>
      </w:pPr>
      <w:r>
        <w:t xml:space="preserve"/>
      </w:r>
    </w:p>
    <w:p>
      <w:pPr>
        <w:spacing w:before="200" w:after="60"/>
      </w:pPr>
      <w:r>
        <w:rPr>
          <w:rFonts w:ascii="Arial" w:cs="Arial" w:eastAsia="Arial" w:hAnsi="Arial"/>
          <w:b/>
          <w:bCs/>
          <w:color w:val="C9A84C"/>
          <w:sz w:val="16"/>
          <w:szCs w:val="16"/>
        </w:rPr>
        <w:t xml:space="preserve">TEAM</w:t>
      </w:r>
    </w:p>
    <w:p>
      <w:pPr>
        <w:spacing w:before="60" w:after="80"/>
        <w:jc w:val="left"/>
      </w:pPr>
      <w:r>
        <w:rPr>
          <w:rFonts w:ascii="Times New Roman" w:cs="Times New Roman" w:eastAsia="Times New Roman" w:hAnsi="Times New Roman"/>
          <w:color w:val="4A4238"/>
          <w:sz w:val="22"/>
          <w:szCs w:val="22"/>
        </w:rPr>
        <w:t xml:space="preserve">Display team cards with role and domain. Do not include personal bios — only role and field. Roles to include:</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Master Facilitator — session design, quality verification, cohort operations</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Paper Structurization Lead — converts research papers into machine-readable records</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Platform Developer — Question Engine, notebook generator, REGISTRY infrastructure</w:t>
      </w:r>
    </w:p>
    <w:p>
      <w:pPr>
        <w:pStyle w:val="ListParagraph"/>
        <w:numPr>
          <w:ilvl w:val="0"/>
          <w:numId w:val="2"/>
        </w:numPr>
        <w:spacing w:before="40" w:after="40"/>
      </w:pPr>
      <w:r>
        <w:rPr>
          <w:rFonts w:ascii="Times New Roman" w:cs="Times New Roman" w:eastAsia="Times New Roman" w:hAnsi="Times New Roman"/>
          <w:color w:val="4A4238"/>
          <w:sz w:val="22"/>
          <w:szCs w:val="22"/>
        </w:rPr>
        <w:t xml:space="preserve">Assessment Engineer — scoring engine, facilitator dashboard, quality metrics</w:t>
      </w:r>
    </w:p>
    <w:p>
      <w:pPr>
        <w:spacing w:before="0" w:after="80"/>
      </w:pPr>
      <w:r>
        <w:t xml:space="preserve"/>
      </w:r>
    </w:p>
    <w:p>
      <w:pPr>
        <w:spacing w:before="200" w:after="60"/>
      </w:pPr>
      <w:r>
        <w:rPr>
          <w:rFonts w:ascii="Arial" w:cs="Arial" w:eastAsia="Arial" w:hAnsi="Arial"/>
          <w:b/>
          <w:bCs/>
          <w:color w:val="C9A84C"/>
          <w:sz w:val="16"/>
          <w:szCs w:val="16"/>
        </w:rPr>
        <w:t xml:space="preserve">CONTACT / INSTITUTION PARTNERSHIP</w:t>
      </w:r>
    </w:p>
    <w:tbl>
      <w:tblPr>
        <w:tblW w:type="dxa" w:w="9360"/>
        <w:tblBorders>
          <w:top w:val="single" w:color="C9A84C" w:sz="4"/>
          <w:left w:val="single" w:color="C9A84C" w:sz="4"/>
          <w:bottom w:val="single" w:color="C9A84C" w:sz="4"/>
          <w:right w:val="single" w:color="C9A84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1A1612"/>
                <w:sz w:val="28"/>
                <w:szCs w:val="28"/>
              </w:rPr>
              <w:t xml:space="preserve">Your portal. Our infrastructure.</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U Infinitum provides the simulation backbone for modern institutional research — removing hardware bottlenecks from the learning cycle. Zero infrastructure required on your end.</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2"/>
                <w:szCs w:val="22"/>
              </w:rPr>
              <w:t xml:space="preserve"/>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val="false"/>
                <w:bCs w:val="false"/>
                <w:i w:val="false"/>
                <w:iCs w:val="false"/>
                <w:color w:val="4A4238"/>
                <w:sz w:val="20"/>
                <w:szCs w:val="20"/>
              </w:rPr>
              <w:t xml:space="preserve">For institutional enquiries:</w:t>
            </w:r>
          </w:p>
        </w:tc>
      </w:tr>
      <w:tr>
        <w:tc>
          <w:tcPr>
            <w:tcW w:type="dxa" w:w="9360"/>
            <w:tcBorders>
              <w:top w:val="none" w:color="FFFFFF" w:sz="0"/>
              <w:left w:val="none" w:color="FFFFFF" w:sz="0"/>
              <w:bottom w:val="none" w:color="FFFFFF" w:sz="0"/>
              <w:right w:val="none" w:color="FFFFFF" w:sz="0"/>
            </w:tcBorders>
            <w:tcMar>
              <w:top w:type="dxa" w:w="80"/>
              <w:left w:type="dxa" w:w="200"/>
              <w:bottom w:type="dxa" w:w="40"/>
              <w:right w:type="dxa" w:w="200"/>
            </w:tcMar>
          </w:tcPr>
          <w:p>
            <w:pPr>
              <w:spacing w:before="20" w:after="20"/>
            </w:pPr>
            <w:r>
              <w:rPr>
                <w:rFonts w:ascii="Times New Roman" w:cs="Times New Roman" w:eastAsia="Times New Roman" w:hAnsi="Times New Roman"/>
                <w:b/>
                <w:bCs/>
                <w:i w:val="false"/>
                <w:iCs w:val="false"/>
                <w:color w:val="C9A84C"/>
                <w:sz w:val="22"/>
                <w:szCs w:val="22"/>
              </w:rPr>
              <w:t xml:space="preserve">INITIATE MoU  →  (links to /join#institution)</w:t>
            </w:r>
          </w:p>
        </w:tc>
      </w:tr>
    </w:tbl>
    <w:p>
      <w:pPr>
        <w:spacing w:before="0" w:after="160"/>
      </w:pPr>
      <w:r>
        <w:t xml:space="preserve"/>
      </w:r>
    </w:p>
    <w:p>
      <w:pPr>
        <w:pBdr>
          <w:bottom w:val="single" w:color="E8E2D9" w:sz="2" w:space="1"/>
        </w:pBdr>
        <w:spacing w:before="160" w:after="160"/>
      </w:pPr>
    </w:p>
    <w:p>
      <w:pPr>
        <w:spacing w:before="0" w:after="80"/>
      </w:pPr>
      <w:r>
        <w:t xml:space="preserve"/>
      </w:r>
    </w:p>
    <w:p>
      <w:pPr>
        <w:jc w:val="center"/>
      </w:pPr>
      <w:r>
        <w:rPr>
          <w:rFonts w:ascii="Arial" w:cs="Arial" w:eastAsia="Arial" w:hAnsi="Arial"/>
          <w:i/>
          <w:iCs/>
          <w:color w:val="AAAAAA"/>
          <w:sz w:val="18"/>
          <w:szCs w:val="18"/>
        </w:rPr>
        <w:t xml:space="preserve">U∞ Infinitum  —  Website Content Master Document  —  March 2026  —  Confidential</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pPr>
    <w:r>
      <w:rPr>
        <w:rFonts w:ascii="Arial" w:cs="Arial" w:eastAsia="Arial" w:hAnsi="Arial"/>
        <w:b/>
        <w:bCs/>
        <w:color w:val="C9A84C"/>
        <w:sz w:val="16"/>
        <w:szCs w:val="16"/>
      </w:rPr>
      <w:t xml:space="preserve">U∞ INFINITUM  —  WEBSITE CONTENT DOCUMENT</w:t>
    </w:r>
    <w:r>
      <w:rPr>
        <w:rFonts w:ascii="Arial" w:cs="Arial" w:eastAsia="Arial" w:hAnsi="Arial"/>
        <w:color w:val="999999"/>
        <w:sz w:val="16"/>
        <w:szCs w:val="16"/>
      </w:rPr>
      <w:t xml:space="preserve">   |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2026-03-08T15:50:44.724Z</dcterms:created>
  <dcterms:modified xsi:type="dcterms:W3CDTF">2026-03-08T15:50:44.725Z</dcterms:modified>
</cp:coreProperties>
</file>

<file path=docProps/custom.xml><?xml version="1.0" encoding="utf-8"?>
<Properties xmlns="http://schemas.openxmlformats.org/officeDocument/2006/custom-properties" xmlns:vt="http://schemas.openxmlformats.org/officeDocument/2006/docPropsVTypes"/>
</file>