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7365D"/>
          <w:sz w:val="60"/>
        </w:rPr>
        <w:t>MLOps Assignment Report</w:t>
      </w:r>
    </w:p>
    <w:p>
      <w:pPr>
        <w:jc w:val="center"/>
      </w:pPr>
      <w:r>
        <w:rPr>
          <w:b/>
          <w:color w:val="087E8B"/>
          <w:sz w:val="48"/>
        </w:rPr>
        <w:t>Heart Disease Prediction</w:t>
      </w:r>
    </w:p>
    <w:p>
      <w:pPr>
        <w:jc w:val="center"/>
      </w:pPr>
      <w:r>
        <w:t>Local Kubernetes Deployment • API • Monitoring • Grafana</w:t>
      </w:r>
    </w:p>
    <w:tbl>
      <w:tblPr>
        <w:tblStyle w:val="TableGrid"/>
        <w:tblW w:type="auto" w:w="0"/>
        <w:jc w:val="center"/>
        <w:tblLook w:firstColumn="1" w:firstRow="1" w:lastColumn="0" w:lastRow="0" w:noHBand="0" w:noVBand="1" w:val="04A0"/>
      </w:tblPr>
      <w:tblGrid>
        <w:gridCol w:w="4975"/>
        <w:gridCol w:w="4975"/>
      </w:tblGrid>
      <w:tr>
        <w:tc>
          <w:tcPr>
            <w:tcW w:type="dxa" w:w="4975"/>
            <w:vAlign w:val="center"/>
            <w:shd w:fill="17365D"/>
          </w:tcPr>
          <w:p>
            <w:r/>
            <w:r>
              <w:rPr>
                <w:b/>
                <w:color w:val="FFFFFF"/>
                <w:sz w:val="15"/>
              </w:rPr>
              <w:t>SUBMISSION DETAIL</w:t>
            </w:r>
          </w:p>
        </w:tc>
        <w:tc>
          <w:tcPr>
            <w:tcW w:type="dxa" w:w="4975"/>
            <w:vAlign w:val="center"/>
            <w:shd w:fill="17365D"/>
          </w:tcPr>
          <w:p>
            <w:r/>
            <w:r>
              <w:rPr>
                <w:b/>
                <w:color w:val="FFFFFF"/>
                <w:sz w:val="15"/>
              </w:rPr>
              <w:t>VALUE</w:t>
            </w:r>
          </w:p>
        </w:tc>
      </w:tr>
      <w:tr>
        <w:tc>
          <w:tcPr>
            <w:tcW w:type="dxa" w:w="4975"/>
            <w:vAlign w:val="center"/>
          </w:tcPr>
          <w:p>
            <w:r/>
            <w:r>
              <w:rPr>
                <w:sz w:val="15"/>
              </w:rPr>
              <w:t>Student name</w:t>
            </w:r>
          </w:p>
        </w:tc>
        <w:tc>
          <w:tcPr>
            <w:tcW w:type="dxa" w:w="4975"/>
            <w:vAlign w:val="center"/>
          </w:tcPr>
          <w:p>
            <w:r/>
            <w:r>
              <w:rPr>
                <w:sz w:val="15"/>
              </w:rPr>
              <w:t>KOUSHIKAA K C</w:t>
            </w:r>
          </w:p>
        </w:tc>
      </w:tr>
      <w:tr>
        <w:tc>
          <w:tcPr>
            <w:tcW w:type="dxa" w:w="4975"/>
            <w:vAlign w:val="center"/>
            <w:shd w:fill="EEF3F8"/>
          </w:tcPr>
          <w:p>
            <w:r/>
            <w:r>
              <w:rPr>
                <w:sz w:val="15"/>
              </w:rPr>
              <w:t>Roll number</w:t>
            </w:r>
          </w:p>
        </w:tc>
        <w:tc>
          <w:tcPr>
            <w:tcW w:type="dxa" w:w="4975"/>
            <w:vAlign w:val="center"/>
            <w:shd w:fill="EEF3F8"/>
          </w:tcPr>
          <w:p>
            <w:r/>
            <w:r>
              <w:rPr>
                <w:sz w:val="15"/>
              </w:rPr>
              <w:t>2025AE05628</w:t>
            </w:r>
          </w:p>
        </w:tc>
      </w:tr>
      <w:tr>
        <w:tc>
          <w:tcPr>
            <w:tcW w:type="dxa" w:w="4975"/>
            <w:vAlign w:val="center"/>
          </w:tcPr>
          <w:p>
            <w:r/>
            <w:r>
              <w:rPr>
                <w:sz w:val="15"/>
              </w:rPr>
              <w:t>Project</w:t>
            </w:r>
          </w:p>
        </w:tc>
        <w:tc>
          <w:tcPr>
            <w:tcW w:type="dxa" w:w="4975"/>
            <w:vAlign w:val="center"/>
          </w:tcPr>
          <w:p>
            <w:r/>
            <w:r>
              <w:rPr>
                <w:sz w:val="15"/>
              </w:rPr>
              <w:t>Heart Disease Prediction MLOps</w:t>
            </w:r>
          </w:p>
        </w:tc>
      </w:tr>
      <w:tr>
        <w:tc>
          <w:tcPr>
            <w:tcW w:type="dxa" w:w="4975"/>
            <w:vAlign w:val="center"/>
            <w:shd w:fill="EEF3F8"/>
          </w:tcPr>
          <w:p>
            <w:r/>
            <w:r>
              <w:rPr>
                <w:sz w:val="15"/>
              </w:rPr>
              <w:t>GitHub repository</w:t>
            </w:r>
          </w:p>
        </w:tc>
        <w:tc>
          <w:tcPr>
            <w:tcW w:type="dxa" w:w="4975"/>
            <w:vAlign w:val="center"/>
            <w:shd w:fill="EEF3F8"/>
          </w:tcPr>
          <w:p>
            <w:r/>
            <w:r>
              <w:rPr>
                <w:sz w:val="15"/>
              </w:rPr>
              <w:t>https://github.com/2025ae05628-koushi/2025ae05628_mlos</w:t>
            </w:r>
          </w:p>
        </w:tc>
      </w:tr>
      <w:tr>
        <w:tc>
          <w:tcPr>
            <w:tcW w:type="dxa" w:w="4975"/>
            <w:vAlign w:val="center"/>
          </w:tcPr>
          <w:p>
            <w:r/>
            <w:r>
              <w:rPr>
                <w:sz w:val="15"/>
              </w:rPr>
              <w:t>Verification date</w:t>
            </w:r>
          </w:p>
        </w:tc>
        <w:tc>
          <w:tcPr>
            <w:tcW w:type="dxa" w:w="4975"/>
            <w:vAlign w:val="center"/>
          </w:tcPr>
          <w:p>
            <w:r/>
            <w:r>
              <w:rPr>
                <w:sz w:val="15"/>
              </w:rPr>
              <w:t>20 October 2026</w:t>
            </w:r>
          </w:p>
        </w:tc>
      </w:tr>
      <w:tr>
        <w:tc>
          <w:tcPr>
            <w:tcW w:type="dxa" w:w="4975"/>
            <w:vAlign w:val="center"/>
            <w:shd w:fill="EEF3F8"/>
          </w:tcPr>
          <w:p>
            <w:r/>
            <w:r>
              <w:rPr>
                <w:sz w:val="15"/>
              </w:rPr>
              <w:t>Deployment</w:t>
            </w:r>
          </w:p>
        </w:tc>
        <w:tc>
          <w:tcPr>
            <w:tcW w:type="dxa" w:w="4975"/>
            <w:vAlign w:val="center"/>
            <w:shd w:fill="EEF3F8"/>
          </w:tcPr>
          <w:p>
            <w:r/>
            <w:r>
              <w:rPr>
                <w:sz w:val="15"/>
              </w:rPr>
              <w:t>Docker Desktop local Kubernetes</w:t>
            </w:r>
          </w:p>
        </w:tc>
      </w:tr>
    </w:tbl>
    <w:p>
      <w:pPr>
        <w:spacing w:after="0"/>
      </w:pPr>
    </w:p>
    <w:p>
      <w:pPr>
        <w:jc w:val="center"/>
      </w:pPr>
      <w:r>
        <w:rPr>
          <w:b/>
          <w:color w:val="AA232D"/>
        </w:rPr>
        <w:t>EDUCATIONAL DEMONSTRATION — NOT A MEDICAL DEVICE</w:t>
      </w:r>
    </w:p>
    <w:p>
      <w:r>
        <w:rPr>
          <w:i/>
        </w:rPr>
        <w:t>Repository status: this is the configured Git remote. The local report recorded work as uncommitted/unpushed; confirm final files are on GitHub before using the link as evidence of uploaded work.</w:t>
      </w:r>
    </w:p>
    <w:p>
      <w:r>
        <w:br w:type="page"/>
      </w:r>
    </w:p>
    <w:p>
      <w:pPr>
        <w:pStyle w:val="Heading1"/>
      </w:pPr>
      <w:r>
        <w:t>1. Executive Summary and Architecture</w:t>
      </w:r>
    </w:p>
    <w:p>
      <w:r>
        <w:t>This educational MLOps workflow uses the processed Cleveland subset of the UCI Heart Disease dataset. It validates and explores data, compares Logistic Regression and Random Forest with leakage-safe preprocessing, logs experiments in local MLflow, packages a fitted model pipeline, and serves predictions using FastAPI. Docker Desktop Kubernetes runs the API, while Prometheus scrapes metrics and Grafana displays a dashboard.</w:t>
      </w:r>
    </w:p>
    <w:p>
      <w:r>
        <w:t>Recorded project verification: 15 pytest tests passed; Ruff and dependency checks passed; Docker/API and Kubernetes checks succeeded; the Prometheus scrape was up and Grafana was provisioned. During this session Docker Desktop restarted briefly; the cluster recovered, all three pods became 1/1 Ready, and live API/Grafana/Prometheus checks returned HTTP 200. A live valid prediction was checked. Remote CI and cloud deployment are not claimed.</w:t>
      </w:r>
    </w:p>
    <w:tbl>
      <w:tblPr>
        <w:tblStyle w:val="TableGrid"/>
        <w:tblW w:type="auto" w:w="0"/>
        <w:jc w:val="center"/>
        <w:tblLook w:firstColumn="1" w:firstRow="1" w:lastColumn="0" w:lastRow="0" w:noHBand="0" w:noVBand="1" w:val="04A0"/>
      </w:tblPr>
      <w:tblGrid>
        <w:gridCol w:w="4975"/>
        <w:gridCol w:w="4975"/>
      </w:tblGrid>
      <w:tr>
        <w:tc>
          <w:tcPr>
            <w:tcW w:type="dxa" w:w="4975"/>
            <w:vAlign w:val="center"/>
            <w:shd w:fill="17365D"/>
          </w:tcPr>
          <w:p>
            <w:r/>
            <w:r>
              <w:rPr>
                <w:b/>
                <w:color w:val="FFFFFF"/>
                <w:sz w:val="15"/>
              </w:rPr>
              <w:t>Stage</w:t>
            </w:r>
          </w:p>
        </w:tc>
        <w:tc>
          <w:tcPr>
            <w:tcW w:type="dxa" w:w="4975"/>
            <w:vAlign w:val="center"/>
            <w:shd w:fill="17365D"/>
          </w:tcPr>
          <w:p>
            <w:r/>
            <w:r>
              <w:rPr>
                <w:b/>
                <w:color w:val="FFFFFF"/>
                <w:sz w:val="15"/>
              </w:rPr>
              <w:t>Implementation evidence</w:t>
            </w:r>
          </w:p>
        </w:tc>
      </w:tr>
      <w:tr>
        <w:tc>
          <w:tcPr>
            <w:tcW w:type="dxa" w:w="4975"/>
            <w:vAlign w:val="center"/>
          </w:tcPr>
          <w:p>
            <w:r/>
            <w:r>
              <w:rPr>
                <w:sz w:val="15"/>
              </w:rPr>
              <w:t>Dataset</w:t>
            </w:r>
          </w:p>
        </w:tc>
        <w:tc>
          <w:tcPr>
            <w:tcW w:type="dxa" w:w="4975"/>
            <w:vAlign w:val="center"/>
          </w:tcPr>
          <w:p>
            <w:r/>
            <w:r>
              <w:rPr>
                <w:sz w:val="15"/>
              </w:rPr>
              <w:t>UCI Cleveland data; acquisition, validation, EDA.</w:t>
            </w:r>
          </w:p>
        </w:tc>
      </w:tr>
      <w:tr>
        <w:tc>
          <w:tcPr>
            <w:tcW w:type="dxa" w:w="4975"/>
            <w:vAlign w:val="center"/>
            <w:shd w:fill="EEF3F8"/>
          </w:tcPr>
          <w:p>
            <w:r/>
            <w:r>
              <w:rPr>
                <w:sz w:val="15"/>
              </w:rPr>
              <w:t>Modeling</w:t>
            </w:r>
          </w:p>
        </w:tc>
        <w:tc>
          <w:tcPr>
            <w:tcW w:type="dxa" w:w="4975"/>
            <w:vAlign w:val="center"/>
            <w:shd w:fill="EEF3F8"/>
          </w:tcPr>
          <w:p>
            <w:r/>
            <w:r>
              <w:rPr>
                <w:sz w:val="15"/>
              </w:rPr>
              <w:t>Stratified split; fold-fitted preprocessors; two candidates.</w:t>
            </w:r>
          </w:p>
        </w:tc>
      </w:tr>
      <w:tr>
        <w:tc>
          <w:tcPr>
            <w:tcW w:type="dxa" w:w="4975"/>
            <w:vAlign w:val="center"/>
          </w:tcPr>
          <w:p>
            <w:r/>
            <w:r>
              <w:rPr>
                <w:sz w:val="15"/>
              </w:rPr>
              <w:t>Tracking</w:t>
            </w:r>
          </w:p>
        </w:tc>
        <w:tc>
          <w:tcPr>
            <w:tcW w:type="dxa" w:w="4975"/>
            <w:vAlign w:val="center"/>
          </w:tcPr>
          <w:p>
            <w:r/>
            <w:r>
              <w:rPr>
                <w:sz w:val="15"/>
              </w:rPr>
              <w:t>SQLite mlflow.db; artifacts in mlartifacts/.</w:t>
            </w:r>
          </w:p>
        </w:tc>
      </w:tr>
      <w:tr>
        <w:tc>
          <w:tcPr>
            <w:tcW w:type="dxa" w:w="4975"/>
            <w:vAlign w:val="center"/>
            <w:shd w:fill="EEF3F8"/>
          </w:tcPr>
          <w:p>
            <w:r/>
            <w:r>
              <w:rPr>
                <w:sz w:val="15"/>
              </w:rPr>
              <w:t>Packaging</w:t>
            </w:r>
          </w:p>
        </w:tc>
        <w:tc>
          <w:tcPr>
            <w:tcW w:type="dxa" w:w="4975"/>
            <w:vAlign w:val="center"/>
            <w:shd w:fill="EEF3F8"/>
          </w:tcPr>
          <w:p>
            <w:r/>
            <w:r>
              <w:rPr>
                <w:sz w:val="15"/>
              </w:rPr>
              <w:t>Existing fitted model and metadata under artifacts/.</w:t>
            </w:r>
          </w:p>
        </w:tc>
      </w:tr>
      <w:tr>
        <w:tc>
          <w:tcPr>
            <w:tcW w:type="dxa" w:w="4975"/>
            <w:vAlign w:val="center"/>
          </w:tcPr>
          <w:p>
            <w:r/>
            <w:r>
              <w:rPr>
                <w:sz w:val="15"/>
              </w:rPr>
              <w:t>Serving</w:t>
            </w:r>
          </w:p>
        </w:tc>
        <w:tc>
          <w:tcPr>
            <w:tcW w:type="dxa" w:w="4975"/>
            <w:vAlign w:val="center"/>
          </w:tcPr>
          <w:p>
            <w:r/>
            <w:r>
              <w:rPr>
                <w:sz w:val="15"/>
              </w:rPr>
              <w:t>FastAPI: /health, /predict, /metrics, /docs.</w:t>
            </w:r>
          </w:p>
        </w:tc>
      </w:tr>
      <w:tr>
        <w:tc>
          <w:tcPr>
            <w:tcW w:type="dxa" w:w="4975"/>
            <w:vAlign w:val="center"/>
            <w:shd w:fill="EEF3F8"/>
          </w:tcPr>
          <w:p>
            <w:r/>
            <w:r>
              <w:rPr>
                <w:sz w:val="15"/>
              </w:rPr>
              <w:t>Operations</w:t>
            </w:r>
          </w:p>
        </w:tc>
        <w:tc>
          <w:tcPr>
            <w:tcW w:type="dxa" w:w="4975"/>
            <w:vAlign w:val="center"/>
            <w:shd w:fill="EEF3F8"/>
          </w:tcPr>
          <w:p>
            <w:r/>
            <w:r>
              <w:rPr>
                <w:sz w:val="15"/>
              </w:rPr>
              <w:t>Docker; Kubernetes; Prometheus; Grafana.</w:t>
            </w:r>
          </w:p>
        </w:tc>
      </w:tr>
      <w:tr>
        <w:tc>
          <w:tcPr>
            <w:tcW w:type="dxa" w:w="4975"/>
            <w:vAlign w:val="center"/>
          </w:tcPr>
          <w:p>
            <w:r/>
            <w:r>
              <w:rPr>
                <w:sz w:val="15"/>
              </w:rPr>
              <w:t>Quality</w:t>
            </w:r>
          </w:p>
        </w:tc>
        <w:tc>
          <w:tcPr>
            <w:tcW w:type="dxa" w:w="4975"/>
            <w:vAlign w:val="center"/>
          </w:tcPr>
          <w:p>
            <w:r/>
            <w:r>
              <w:rPr>
                <w:sz w:val="15"/>
              </w:rPr>
              <w:t>pytest, Ruff; CI workflow exists, remote run unverified.</w:t>
            </w:r>
          </w:p>
        </w:tc>
      </w:tr>
    </w:tbl>
    <w:p>
      <w:pPr>
        <w:spacing w:after="0"/>
      </w:pPr>
    </w:p>
    <w:p>
      <w:pPr>
        <w:pStyle w:val="Heading2"/>
      </w:pPr>
      <w:r>
        <w:t>System flow</w:t>
      </w:r>
    </w:p>
    <w:p>
      <w:r>
        <w:t>UCI data → validate/clean → split → fold-fitted preprocessing → CV/model selection → MLflow → fitted pipeline → Docker/FastAPI → Kubernetes Service → Prometheus → Grafana.</w:t>
      </w:r>
    </w:p>
    <w:p>
      <w:r>
        <w:br w:type="page"/>
      </w:r>
    </w:p>
    <w:p>
      <w:pPr>
        <w:pStyle w:val="Heading1"/>
      </w:pPr>
      <w:r>
        <w:t>2. Dataset Source, Data Quality and Raw EDA</w:t>
      </w:r>
    </w:p>
    <w:p>
      <w:r>
        <w:t>Source: UCI Machine Learning Repository, processed Cleveland Heart Disease subset. processed.cleveland.data has 303 records and 14 fields (13 inputs plus num). Each row is a record from this historical dataset.</w:t>
      </w:r>
    </w:p>
    <w:tbl>
      <w:tblPr>
        <w:tblStyle w:val="TableGrid"/>
        <w:tblW w:type="auto" w:w="0"/>
        <w:jc w:val="center"/>
        <w:tblLook w:firstColumn="1" w:firstRow="1" w:lastColumn="0" w:lastRow="0" w:noHBand="0" w:noVBand="1" w:val="04A0"/>
      </w:tblPr>
      <w:tblGrid>
        <w:gridCol w:w="4975"/>
        <w:gridCol w:w="4975"/>
      </w:tblGrid>
      <w:tr>
        <w:tc>
          <w:tcPr>
            <w:tcW w:type="dxa" w:w="4975"/>
            <w:vAlign w:val="center"/>
            <w:shd w:fill="17365D"/>
          </w:tcPr>
          <w:p>
            <w:r/>
            <w:r>
              <w:rPr>
                <w:b/>
                <w:color w:val="FFFFFF"/>
                <w:sz w:val="15"/>
              </w:rPr>
              <w:t>Observed fact</w:t>
            </w:r>
          </w:p>
        </w:tc>
        <w:tc>
          <w:tcPr>
            <w:tcW w:type="dxa" w:w="4975"/>
            <w:vAlign w:val="center"/>
            <w:shd w:fill="17365D"/>
          </w:tcPr>
          <w:p>
            <w:r/>
            <w:r>
              <w:rPr>
                <w:b/>
                <w:color w:val="FFFFFF"/>
                <w:sz w:val="15"/>
              </w:rPr>
              <w:t>Evidence</w:t>
            </w:r>
          </w:p>
        </w:tc>
      </w:tr>
      <w:tr>
        <w:tc>
          <w:tcPr>
            <w:tcW w:type="dxa" w:w="4975"/>
            <w:vAlign w:val="center"/>
          </w:tcPr>
          <w:p>
            <w:r/>
            <w:r>
              <w:rPr>
                <w:sz w:val="15"/>
              </w:rPr>
              <w:t>Shape</w:t>
            </w:r>
          </w:p>
        </w:tc>
        <w:tc>
          <w:tcPr>
            <w:tcW w:type="dxa" w:w="4975"/>
            <w:vAlign w:val="center"/>
          </w:tcPr>
          <w:p>
            <w:r/>
            <w:r>
              <w:rPr>
                <w:sz w:val="15"/>
              </w:rPr>
              <w:t>303 rows; 13 input fields plus target num.</w:t>
            </w:r>
          </w:p>
        </w:tc>
      </w:tr>
      <w:tr>
        <w:tc>
          <w:tcPr>
            <w:tcW w:type="dxa" w:w="4975"/>
            <w:vAlign w:val="center"/>
            <w:shd w:fill="EEF3F8"/>
          </w:tcPr>
          <w:p>
            <w:r/>
            <w:r>
              <w:rPr>
                <w:sz w:val="15"/>
              </w:rPr>
              <w:t>Missing values</w:t>
            </w:r>
          </w:p>
        </w:tc>
        <w:tc>
          <w:tcPr>
            <w:tcW w:type="dxa" w:w="4975"/>
            <w:vAlign w:val="center"/>
            <w:shd w:fill="EEF3F8"/>
          </w:tcPr>
          <w:p>
            <w:r/>
            <w:r>
              <w:rPr>
                <w:sz w:val="15"/>
              </w:rPr>
              <w:t>4 in ca and 2 in thal; preserved.</w:t>
            </w:r>
          </w:p>
        </w:tc>
      </w:tr>
      <w:tr>
        <w:tc>
          <w:tcPr>
            <w:tcW w:type="dxa" w:w="4975"/>
            <w:vAlign w:val="center"/>
          </w:tcPr>
          <w:p>
            <w:r/>
            <w:r>
              <w:rPr>
                <w:sz w:val="15"/>
              </w:rPr>
              <w:t>Duplicates</w:t>
            </w:r>
          </w:p>
        </w:tc>
        <w:tc>
          <w:tcPr>
            <w:tcW w:type="dxa" w:w="4975"/>
            <w:vAlign w:val="center"/>
          </w:tcPr>
          <w:p>
            <w:r/>
            <w:r>
              <w:rPr>
                <w:sz w:val="15"/>
              </w:rPr>
              <w:t>No exact duplicate rows found.</w:t>
            </w:r>
          </w:p>
        </w:tc>
      </w:tr>
      <w:tr>
        <w:tc>
          <w:tcPr>
            <w:tcW w:type="dxa" w:w="4975"/>
            <w:vAlign w:val="center"/>
            <w:shd w:fill="EEF3F8"/>
          </w:tcPr>
          <w:p>
            <w:r/>
            <w:r>
              <w:rPr>
                <w:sz w:val="15"/>
              </w:rPr>
              <w:t>Raw target counts</w:t>
            </w:r>
          </w:p>
        </w:tc>
        <w:tc>
          <w:tcPr>
            <w:tcW w:type="dxa" w:w="4975"/>
            <w:vAlign w:val="center"/>
            <w:shd w:fill="EEF3F8"/>
          </w:tcPr>
          <w:p>
            <w:r/>
            <w:r>
              <w:rPr>
                <w:sz w:val="15"/>
              </w:rPr>
              <w:t>num 0:164; 1:55; 2:36; 3:35; 4:13.</w:t>
            </w:r>
          </w:p>
        </w:tc>
      </w:tr>
      <w:tr>
        <w:tc>
          <w:tcPr>
            <w:tcW w:type="dxa" w:w="4975"/>
            <w:vAlign w:val="center"/>
          </w:tcPr>
          <w:p>
            <w:r/>
            <w:r>
              <w:rPr>
                <w:sz w:val="15"/>
              </w:rPr>
              <w:t>Binary target for modeling</w:t>
            </w:r>
          </w:p>
        </w:tc>
        <w:tc>
          <w:tcPr>
            <w:tcW w:type="dxa" w:w="4975"/>
            <w:vAlign w:val="center"/>
          </w:tcPr>
          <w:p>
            <w:r/>
            <w:r>
              <w:rPr>
                <w:sz w:val="15"/>
              </w:rPr>
              <w:t>0→absence; original 1–4→presence (164/139).</w:t>
            </w:r>
          </w:p>
        </w:tc>
      </w:tr>
      <w:tr>
        <w:tc>
          <w:tcPr>
            <w:tcW w:type="dxa" w:w="4975"/>
            <w:vAlign w:val="center"/>
            <w:shd w:fill="EEF3F8"/>
          </w:tcPr>
          <w:p>
            <w:r/>
            <w:r>
              <w:rPr>
                <w:sz w:val="15"/>
              </w:rPr>
              <w:t>Category codes</w:t>
            </w:r>
          </w:p>
        </w:tc>
        <w:tc>
          <w:tcPr>
            <w:tcW w:type="dxa" w:w="4975"/>
            <w:vAlign w:val="center"/>
            <w:shd w:fill="EEF3F8"/>
          </w:tcPr>
          <w:p>
            <w:r/>
            <w:r>
              <w:rPr>
                <w:sz w:val="15"/>
              </w:rPr>
              <w:t>Observed values checked against documented categories.</w:t>
            </w:r>
          </w:p>
        </w:tc>
      </w:tr>
    </w:tbl>
    <w:p>
      <w:pPr>
        <w:spacing w:after="0"/>
      </w:pPr>
    </w:p>
    <w:p>
      <w:r>
        <w:t>The acquisition step preserves the source. Cleaning creates a separate typed file and retains missing values for later training-fold imputation. Categorical codes are not treated as continuous measurements.</w:t>
      </w:r>
    </w:p>
    <w:p>
      <w:pPr>
        <w:spacing w:after="0"/>
        <w:jc w:val="center"/>
      </w:pPr>
      <w:r>
        <w:drawing>
          <wp:inline xmlns:a="http://schemas.openxmlformats.org/drawingml/2006/main" xmlns:pic="http://schemas.openxmlformats.org/drawingml/2006/picture">
            <wp:extent cx="4206240" cy="1965960"/>
            <wp:docPr id="1" name="Picture 1"/>
            <wp:cNvGraphicFramePr>
              <a:graphicFrameLocks noChangeAspect="1"/>
            </wp:cNvGraphicFramePr>
            <a:graphic>
              <a:graphicData uri="http://schemas.openxmlformats.org/drawingml/2006/picture">
                <pic:pic>
                  <pic:nvPicPr>
                    <pic:cNvPr id="0" name="raw_target_distribution.png"/>
                    <pic:cNvPicPr/>
                  </pic:nvPicPr>
                  <pic:blipFill>
                    <a:blip r:embed="rId11"/>
                    <a:stretch>
                      <a:fillRect/>
                    </a:stretch>
                  </pic:blipFill>
                  <pic:spPr>
                    <a:xfrm>
                      <a:off x="0" y="0"/>
                      <a:ext cx="4206240" cy="1965960"/>
                    </a:xfrm>
                    <a:prstGeom prst="rect"/>
                  </pic:spPr>
                </pic:pic>
              </a:graphicData>
            </a:graphic>
          </wp:inline>
        </w:drawing>
      </w:r>
    </w:p>
    <w:p>
      <w:pPr>
        <w:pStyle w:val="Caption"/>
        <w:spacing w:after="40"/>
        <w:jc w:val="center"/>
      </w:pPr>
      <w:r>
        <w:t>Figure 1. Raw dataset target distribution.</w:t>
      </w:r>
    </w:p>
    <w:p>
      <w:pPr>
        <w:spacing w:after="0"/>
        <w:jc w:val="center"/>
      </w:pPr>
      <w:r>
        <w:drawing>
          <wp:inline xmlns:a="http://schemas.openxmlformats.org/drawingml/2006/main" xmlns:pic="http://schemas.openxmlformats.org/drawingml/2006/picture">
            <wp:extent cx="3840480" cy="2240280"/>
            <wp:docPr id="2" name="Picture 2"/>
            <wp:cNvGraphicFramePr>
              <a:graphicFrameLocks noChangeAspect="1"/>
            </wp:cNvGraphicFramePr>
            <a:graphic>
              <a:graphicData uri="http://schemas.openxmlformats.org/drawingml/2006/picture">
                <pic:pic>
                  <pic:nvPicPr>
                    <pic:cNvPr id="0" name="raw_feature_histograms.png"/>
                    <pic:cNvPicPr/>
                  </pic:nvPicPr>
                  <pic:blipFill>
                    <a:blip r:embed="rId12"/>
                    <a:stretch>
                      <a:fillRect/>
                    </a:stretch>
                  </pic:blipFill>
                  <pic:spPr>
                    <a:xfrm>
                      <a:off x="0" y="0"/>
                      <a:ext cx="3840480" cy="2240280"/>
                    </a:xfrm>
                    <a:prstGeom prst="rect"/>
                  </pic:spPr>
                </pic:pic>
              </a:graphicData>
            </a:graphic>
          </wp:inline>
        </w:drawing>
      </w:r>
    </w:p>
    <w:p>
      <w:pPr>
        <w:pStyle w:val="Caption"/>
        <w:spacing w:after="40"/>
        <w:jc w:val="center"/>
      </w:pPr>
      <w:r>
        <w:t>Figure 2. Raw continuous-feature histograms.</w:t>
      </w:r>
    </w:p>
    <w:p>
      <w:r>
        <w:br w:type="page"/>
      </w:r>
    </w:p>
    <w:p>
      <w:pPr>
        <w:pStyle w:val="Heading1"/>
      </w:pPr>
      <w:r>
        <w:t>3. Exploratory Analysis: Raw and Cleaned Data</w:t>
      </w:r>
    </w:p>
    <w:p>
      <w:r>
        <w:t>The saved EDA outputs summarize target distribution, continuous-feature ranges and distribution shapes, and pairwise linear associations. These plots describe this dataset only; they do not establish medical thresholds, causality, or model validity.</w:t>
      </w:r>
    </w:p>
    <w:p>
      <w:pPr>
        <w:spacing w:after="0"/>
        <w:jc w:val="center"/>
      </w:pPr>
      <w:r>
        <w:drawing>
          <wp:inline xmlns:a="http://schemas.openxmlformats.org/drawingml/2006/main" xmlns:pic="http://schemas.openxmlformats.org/drawingml/2006/picture">
            <wp:extent cx="5029200" cy="1828800"/>
            <wp:docPr id="3" name="Picture 3"/>
            <wp:cNvGraphicFramePr>
              <a:graphicFrameLocks noChangeAspect="1"/>
            </wp:cNvGraphicFramePr>
            <a:graphic>
              <a:graphicData uri="http://schemas.openxmlformats.org/drawingml/2006/picture">
                <pic:pic>
                  <pic:nvPicPr>
                    <pic:cNvPr id="0" name="raw_feature_boxplots.png"/>
                    <pic:cNvPicPr/>
                  </pic:nvPicPr>
                  <pic:blipFill>
                    <a:blip r:embed="rId13"/>
                    <a:stretch>
                      <a:fillRect/>
                    </a:stretch>
                  </pic:blipFill>
                  <pic:spPr>
                    <a:xfrm>
                      <a:off x="0" y="0"/>
                      <a:ext cx="5029200" cy="1828800"/>
                    </a:xfrm>
                    <a:prstGeom prst="rect"/>
                  </pic:spPr>
                </pic:pic>
              </a:graphicData>
            </a:graphic>
          </wp:inline>
        </w:drawing>
      </w:r>
    </w:p>
    <w:p>
      <w:pPr>
        <w:pStyle w:val="Caption"/>
        <w:spacing w:after="40"/>
        <w:jc w:val="center"/>
      </w:pPr>
      <w:r>
        <w:t>Figure 3. Raw continuous-feature boxplots.</w:t>
      </w:r>
    </w:p>
    <w:p>
      <w:pPr>
        <w:spacing w:after="0"/>
        <w:jc w:val="center"/>
      </w:pPr>
      <w:r>
        <w:drawing>
          <wp:inline xmlns:a="http://schemas.openxmlformats.org/drawingml/2006/main" xmlns:pic="http://schemas.openxmlformats.org/drawingml/2006/picture">
            <wp:extent cx="3840480" cy="1828800"/>
            <wp:docPr id="4" name="Picture 4"/>
            <wp:cNvGraphicFramePr>
              <a:graphicFrameLocks noChangeAspect="1"/>
            </wp:cNvGraphicFramePr>
            <a:graphic>
              <a:graphicData uri="http://schemas.openxmlformats.org/drawingml/2006/picture">
                <pic:pic>
                  <pic:nvPicPr>
                    <pic:cNvPr id="0" name="raw_correlation_heatmap.png"/>
                    <pic:cNvPicPr/>
                  </pic:nvPicPr>
                  <pic:blipFill>
                    <a:blip r:embed="rId14"/>
                    <a:stretch>
                      <a:fillRect/>
                    </a:stretch>
                  </pic:blipFill>
                  <pic:spPr>
                    <a:xfrm>
                      <a:off x="0" y="0"/>
                      <a:ext cx="3840480" cy="1828800"/>
                    </a:xfrm>
                    <a:prstGeom prst="rect"/>
                  </pic:spPr>
                </pic:pic>
              </a:graphicData>
            </a:graphic>
          </wp:inline>
        </w:drawing>
      </w:r>
    </w:p>
    <w:p>
      <w:pPr>
        <w:pStyle w:val="Caption"/>
        <w:spacing w:after="40"/>
        <w:jc w:val="center"/>
      </w:pPr>
      <w:r>
        <w:t>Figure 4. Raw continuous-feature correlation heatmap.</w:t>
      </w:r>
    </w:p>
    <w:p>
      <w:pPr>
        <w:spacing w:after="0"/>
        <w:jc w:val="center"/>
      </w:pPr>
      <w:r>
        <w:drawing>
          <wp:inline xmlns:a="http://schemas.openxmlformats.org/drawingml/2006/main" xmlns:pic="http://schemas.openxmlformats.org/drawingml/2006/picture">
            <wp:extent cx="4114800" cy="1691640"/>
            <wp:docPr id="5" name="Picture 5"/>
            <wp:cNvGraphicFramePr>
              <a:graphicFrameLocks noChangeAspect="1"/>
            </wp:cNvGraphicFramePr>
            <a:graphic>
              <a:graphicData uri="http://schemas.openxmlformats.org/drawingml/2006/picture">
                <pic:pic>
                  <pic:nvPicPr>
                    <pic:cNvPr id="0" name="raw_target_distribution.png"/>
                    <pic:cNvPicPr/>
                  </pic:nvPicPr>
                  <pic:blipFill>
                    <a:blip r:embed="rId11"/>
                    <a:stretch>
                      <a:fillRect/>
                    </a:stretch>
                  </pic:blipFill>
                  <pic:spPr>
                    <a:xfrm>
                      <a:off x="0" y="0"/>
                      <a:ext cx="4114800" cy="1691640"/>
                    </a:xfrm>
                    <a:prstGeom prst="rect"/>
                  </pic:spPr>
                </pic:pic>
              </a:graphicData>
            </a:graphic>
          </wp:inline>
        </w:drawing>
      </w:r>
    </w:p>
    <w:p>
      <w:pPr>
        <w:pStyle w:val="Caption"/>
        <w:spacing w:after="40"/>
        <w:jc w:val="center"/>
      </w:pPr>
      <w:r>
        <w:t>Figure 5. Target distribution after typed cleaning; still source-coded 0–4.</w:t>
      </w:r>
    </w:p>
    <w:p>
      <w:r>
        <w:br w:type="page"/>
      </w:r>
    </w:p>
    <w:p>
      <w:pPr>
        <w:pStyle w:val="Heading1"/>
      </w:pPr>
      <w:r>
        <w:t>3.1 Processed Dataset Visual Evidence</w:t>
      </w:r>
    </w:p>
    <w:p>
      <w:r>
        <w:t>The processed dataset retains the original num target coding at this stage. Training later applies the explicitly documented binary mapping. Missing features remain for imputation inside the model pipeline.</w:t>
      </w:r>
    </w:p>
    <w:p>
      <w:pPr>
        <w:spacing w:after="0"/>
        <w:jc w:val="center"/>
      </w:pPr>
      <w:r>
        <w:drawing>
          <wp:inline xmlns:a="http://schemas.openxmlformats.org/drawingml/2006/main" xmlns:pic="http://schemas.openxmlformats.org/drawingml/2006/picture">
            <wp:extent cx="3383280" cy="2834640"/>
            <wp:docPr id="6" name="Picture 6"/>
            <wp:cNvGraphicFramePr>
              <a:graphicFrameLocks noChangeAspect="1"/>
            </wp:cNvGraphicFramePr>
            <a:graphic>
              <a:graphicData uri="http://schemas.openxmlformats.org/drawingml/2006/picture">
                <pic:pic>
                  <pic:nvPicPr>
                    <pic:cNvPr id="0" name="raw_feature_histograms.png"/>
                    <pic:cNvPicPr/>
                  </pic:nvPicPr>
                  <pic:blipFill>
                    <a:blip r:embed="rId12"/>
                    <a:stretch>
                      <a:fillRect/>
                    </a:stretch>
                  </pic:blipFill>
                  <pic:spPr>
                    <a:xfrm>
                      <a:off x="0" y="0"/>
                      <a:ext cx="3383280" cy="2834640"/>
                    </a:xfrm>
                    <a:prstGeom prst="rect"/>
                  </pic:spPr>
                </pic:pic>
              </a:graphicData>
            </a:graphic>
          </wp:inline>
        </w:drawing>
      </w:r>
    </w:p>
    <w:p>
      <w:pPr>
        <w:pStyle w:val="Caption"/>
        <w:spacing w:after="40"/>
        <w:jc w:val="center"/>
      </w:pPr>
      <w:r>
        <w:t>Figure 6. Processed continuous-feature histograms.</w:t>
      </w:r>
    </w:p>
    <w:p>
      <w:pPr>
        <w:spacing w:after="0"/>
        <w:jc w:val="center"/>
      </w:pPr>
      <w:r>
        <w:drawing>
          <wp:inline xmlns:a="http://schemas.openxmlformats.org/drawingml/2006/main" xmlns:pic="http://schemas.openxmlformats.org/drawingml/2006/picture">
            <wp:extent cx="5029200" cy="1828800"/>
            <wp:docPr id="7" name="Picture 7"/>
            <wp:cNvGraphicFramePr>
              <a:graphicFrameLocks noChangeAspect="1"/>
            </wp:cNvGraphicFramePr>
            <a:graphic>
              <a:graphicData uri="http://schemas.openxmlformats.org/drawingml/2006/picture">
                <pic:pic>
                  <pic:nvPicPr>
                    <pic:cNvPr id="0" name="raw_feature_boxplots.png"/>
                    <pic:cNvPicPr/>
                  </pic:nvPicPr>
                  <pic:blipFill>
                    <a:blip r:embed="rId13"/>
                    <a:stretch>
                      <a:fillRect/>
                    </a:stretch>
                  </pic:blipFill>
                  <pic:spPr>
                    <a:xfrm>
                      <a:off x="0" y="0"/>
                      <a:ext cx="5029200" cy="1828800"/>
                    </a:xfrm>
                    <a:prstGeom prst="rect"/>
                  </pic:spPr>
                </pic:pic>
              </a:graphicData>
            </a:graphic>
          </wp:inline>
        </w:drawing>
      </w:r>
    </w:p>
    <w:p>
      <w:pPr>
        <w:pStyle w:val="Caption"/>
        <w:spacing w:after="40"/>
        <w:jc w:val="center"/>
      </w:pPr>
      <w:r>
        <w:t>Figure 7. Processed continuous-feature boxplots.</w:t>
      </w:r>
    </w:p>
    <w:p>
      <w:pPr>
        <w:spacing w:after="0"/>
        <w:jc w:val="center"/>
      </w:pPr>
      <w:r>
        <w:drawing>
          <wp:inline xmlns:a="http://schemas.openxmlformats.org/drawingml/2006/main" xmlns:pic="http://schemas.openxmlformats.org/drawingml/2006/picture">
            <wp:extent cx="3063240" cy="1737360"/>
            <wp:docPr id="8" name="Picture 8"/>
            <wp:cNvGraphicFramePr>
              <a:graphicFrameLocks noChangeAspect="1"/>
            </wp:cNvGraphicFramePr>
            <a:graphic>
              <a:graphicData uri="http://schemas.openxmlformats.org/drawingml/2006/picture">
                <pic:pic>
                  <pic:nvPicPr>
                    <pic:cNvPr id="0" name="raw_correlation_heatmap.png"/>
                    <pic:cNvPicPr/>
                  </pic:nvPicPr>
                  <pic:blipFill>
                    <a:blip r:embed="rId14"/>
                    <a:stretch>
                      <a:fillRect/>
                    </a:stretch>
                  </pic:blipFill>
                  <pic:spPr>
                    <a:xfrm>
                      <a:off x="0" y="0"/>
                      <a:ext cx="3063240" cy="1737360"/>
                    </a:xfrm>
                    <a:prstGeom prst="rect"/>
                  </pic:spPr>
                </pic:pic>
              </a:graphicData>
            </a:graphic>
          </wp:inline>
        </w:drawing>
      </w:r>
    </w:p>
    <w:p>
      <w:pPr>
        <w:pStyle w:val="Caption"/>
        <w:spacing w:after="40"/>
        <w:jc w:val="center"/>
      </w:pPr>
      <w:r>
        <w:t>Figure 8. Processed continuous-feature correlation heatmap.</w:t>
      </w:r>
    </w:p>
    <w:p>
      <w:r>
        <w:br w:type="page"/>
      </w:r>
    </w:p>
    <w:p>
      <w:pPr>
        <w:pStyle w:val="Heading1"/>
      </w:pPr>
      <w:r>
        <w:t>4. Feature Schema, Preprocessing and Leakage Prevention</w:t>
      </w:r>
    </w:p>
    <w:p>
      <w:r>
        <w:t>The training target maps num==0 to absence (class 0) and num&gt;0 to presence (class 1). All 13 source inputs are retained. A stratified 80/20 split with random_state=42 yields 242 training and 61 test rows. Five-fold stratified cross-validation is performed only on training data.</w:t>
      </w:r>
    </w:p>
    <w:tbl>
      <w:tblPr>
        <w:tblStyle w:val="TableGrid"/>
        <w:tblW w:type="auto" w:w="0"/>
        <w:jc w:val="center"/>
        <w:tblLook w:firstColumn="1" w:firstRow="1" w:lastColumn="0" w:lastRow="0" w:noHBand="0" w:noVBand="1" w:val="04A0"/>
      </w:tblPr>
      <w:tblGrid>
        <w:gridCol w:w="3317"/>
        <w:gridCol w:w="3317"/>
        <w:gridCol w:w="3317"/>
      </w:tblGrid>
      <w:tr>
        <w:tc>
          <w:tcPr>
            <w:tcW w:type="dxa" w:w="3317"/>
            <w:vAlign w:val="center"/>
            <w:shd w:fill="17365D"/>
          </w:tcPr>
          <w:p>
            <w:r/>
            <w:r>
              <w:rPr>
                <w:b/>
                <w:color w:val="FFFFFF"/>
                <w:sz w:val="15"/>
              </w:rPr>
              <w:t>Field</w:t>
            </w:r>
          </w:p>
        </w:tc>
        <w:tc>
          <w:tcPr>
            <w:tcW w:type="dxa" w:w="3317"/>
            <w:vAlign w:val="center"/>
            <w:shd w:fill="17365D"/>
          </w:tcPr>
          <w:p>
            <w:r/>
            <w:r>
              <w:rPr>
                <w:b/>
                <w:color w:val="FFFFFF"/>
                <w:sz w:val="15"/>
              </w:rPr>
              <w:t>Meaning / group</w:t>
            </w:r>
          </w:p>
        </w:tc>
        <w:tc>
          <w:tcPr>
            <w:tcW w:type="dxa" w:w="3317"/>
            <w:vAlign w:val="center"/>
            <w:shd w:fill="17365D"/>
          </w:tcPr>
          <w:p>
            <w:r/>
            <w:r>
              <w:rPr>
                <w:b/>
                <w:color w:val="FFFFFF"/>
                <w:sz w:val="15"/>
              </w:rPr>
              <w:t>API JSON type</w:t>
            </w:r>
          </w:p>
        </w:tc>
      </w:tr>
      <w:tr>
        <w:tc>
          <w:tcPr>
            <w:tcW w:type="dxa" w:w="3317"/>
            <w:vAlign w:val="center"/>
          </w:tcPr>
          <w:p>
            <w:r/>
            <w:r>
              <w:rPr>
                <w:sz w:val="15"/>
              </w:rPr>
              <w:t>age</w:t>
            </w:r>
          </w:p>
        </w:tc>
        <w:tc>
          <w:tcPr>
            <w:tcW w:type="dxa" w:w="3317"/>
            <w:vAlign w:val="center"/>
          </w:tcPr>
          <w:p>
            <w:r/>
            <w:r>
              <w:rPr>
                <w:sz w:val="15"/>
              </w:rPr>
              <w:t>Age; numeric, impute + scale</w:t>
            </w:r>
          </w:p>
        </w:tc>
        <w:tc>
          <w:tcPr>
            <w:tcW w:type="dxa" w:w="3317"/>
            <w:vAlign w:val="center"/>
          </w:tcPr>
          <w:p>
            <w:r/>
            <w:r>
              <w:rPr>
                <w:sz w:val="15"/>
              </w:rPr>
              <w:t>number</w:t>
            </w:r>
          </w:p>
        </w:tc>
      </w:tr>
      <w:tr>
        <w:tc>
          <w:tcPr>
            <w:tcW w:type="dxa" w:w="3317"/>
            <w:vAlign w:val="center"/>
            <w:shd w:fill="EEF3F8"/>
          </w:tcPr>
          <w:p>
            <w:r/>
            <w:r>
              <w:rPr>
                <w:sz w:val="15"/>
              </w:rPr>
              <w:t>sex</w:t>
            </w:r>
          </w:p>
        </w:tc>
        <w:tc>
          <w:tcPr>
            <w:tcW w:type="dxa" w:w="3317"/>
            <w:vAlign w:val="center"/>
            <w:shd w:fill="EEF3F8"/>
          </w:tcPr>
          <w:p>
            <w:r/>
            <w:r>
              <w:rPr>
                <w:sz w:val="15"/>
              </w:rPr>
              <w:t>Coded category 0/1</w:t>
            </w:r>
          </w:p>
        </w:tc>
        <w:tc>
          <w:tcPr>
            <w:tcW w:type="dxa" w:w="3317"/>
            <w:vAlign w:val="center"/>
            <w:shd w:fill="EEF3F8"/>
          </w:tcPr>
          <w:p>
            <w:r/>
            <w:r>
              <w:rPr>
                <w:sz w:val="15"/>
              </w:rPr>
              <w:t>integer</w:t>
            </w:r>
          </w:p>
        </w:tc>
      </w:tr>
      <w:tr>
        <w:tc>
          <w:tcPr>
            <w:tcW w:type="dxa" w:w="3317"/>
            <w:vAlign w:val="center"/>
          </w:tcPr>
          <w:p>
            <w:r/>
            <w:r>
              <w:rPr>
                <w:sz w:val="15"/>
              </w:rPr>
              <w:t>cp</w:t>
            </w:r>
          </w:p>
        </w:tc>
        <w:tc>
          <w:tcPr>
            <w:tcW w:type="dxa" w:w="3317"/>
            <w:vAlign w:val="center"/>
          </w:tcPr>
          <w:p>
            <w:r/>
            <w:r>
              <w:rPr>
                <w:sz w:val="15"/>
              </w:rPr>
              <w:t>Chest-pain category 1–4</w:t>
            </w:r>
          </w:p>
        </w:tc>
        <w:tc>
          <w:tcPr>
            <w:tcW w:type="dxa" w:w="3317"/>
            <w:vAlign w:val="center"/>
          </w:tcPr>
          <w:p>
            <w:r/>
            <w:r>
              <w:rPr>
                <w:sz w:val="15"/>
              </w:rPr>
              <w:t>integer</w:t>
            </w:r>
          </w:p>
        </w:tc>
      </w:tr>
      <w:tr>
        <w:tc>
          <w:tcPr>
            <w:tcW w:type="dxa" w:w="3317"/>
            <w:vAlign w:val="center"/>
            <w:shd w:fill="EEF3F8"/>
          </w:tcPr>
          <w:p>
            <w:r/>
            <w:r>
              <w:rPr>
                <w:sz w:val="15"/>
              </w:rPr>
              <w:t>trestbps</w:t>
            </w:r>
          </w:p>
        </w:tc>
        <w:tc>
          <w:tcPr>
            <w:tcW w:type="dxa" w:w="3317"/>
            <w:vAlign w:val="center"/>
            <w:shd w:fill="EEF3F8"/>
          </w:tcPr>
          <w:p>
            <w:r/>
            <w:r>
              <w:rPr>
                <w:sz w:val="15"/>
              </w:rPr>
              <w:t>Resting blood pressure; numeric</w:t>
            </w:r>
          </w:p>
        </w:tc>
        <w:tc>
          <w:tcPr>
            <w:tcW w:type="dxa" w:w="3317"/>
            <w:vAlign w:val="center"/>
            <w:shd w:fill="EEF3F8"/>
          </w:tcPr>
          <w:p>
            <w:r/>
            <w:r>
              <w:rPr>
                <w:sz w:val="15"/>
              </w:rPr>
              <w:t>number</w:t>
            </w:r>
          </w:p>
        </w:tc>
      </w:tr>
      <w:tr>
        <w:tc>
          <w:tcPr>
            <w:tcW w:type="dxa" w:w="3317"/>
            <w:vAlign w:val="center"/>
          </w:tcPr>
          <w:p>
            <w:r/>
            <w:r>
              <w:rPr>
                <w:sz w:val="15"/>
              </w:rPr>
              <w:t>chol</w:t>
            </w:r>
          </w:p>
        </w:tc>
        <w:tc>
          <w:tcPr>
            <w:tcW w:type="dxa" w:w="3317"/>
            <w:vAlign w:val="center"/>
          </w:tcPr>
          <w:p>
            <w:r/>
            <w:r>
              <w:rPr>
                <w:sz w:val="15"/>
              </w:rPr>
              <w:t>Cholesterol; numeric</w:t>
            </w:r>
          </w:p>
        </w:tc>
        <w:tc>
          <w:tcPr>
            <w:tcW w:type="dxa" w:w="3317"/>
            <w:vAlign w:val="center"/>
          </w:tcPr>
          <w:p>
            <w:r/>
            <w:r>
              <w:rPr>
                <w:sz w:val="15"/>
              </w:rPr>
              <w:t>number</w:t>
            </w:r>
          </w:p>
        </w:tc>
      </w:tr>
      <w:tr>
        <w:tc>
          <w:tcPr>
            <w:tcW w:type="dxa" w:w="3317"/>
            <w:vAlign w:val="center"/>
            <w:shd w:fill="EEF3F8"/>
          </w:tcPr>
          <w:p>
            <w:r/>
            <w:r>
              <w:rPr>
                <w:sz w:val="15"/>
              </w:rPr>
              <w:t>fbs</w:t>
            </w:r>
          </w:p>
        </w:tc>
        <w:tc>
          <w:tcPr>
            <w:tcW w:type="dxa" w:w="3317"/>
            <w:vAlign w:val="center"/>
            <w:shd w:fill="EEF3F8"/>
          </w:tcPr>
          <w:p>
            <w:r/>
            <w:r>
              <w:rPr>
                <w:sz w:val="15"/>
              </w:rPr>
              <w:t>Fasting blood sugar category</w:t>
            </w:r>
          </w:p>
        </w:tc>
        <w:tc>
          <w:tcPr>
            <w:tcW w:type="dxa" w:w="3317"/>
            <w:vAlign w:val="center"/>
            <w:shd w:fill="EEF3F8"/>
          </w:tcPr>
          <w:p>
            <w:r/>
            <w:r>
              <w:rPr>
                <w:sz w:val="15"/>
              </w:rPr>
              <w:t>integer</w:t>
            </w:r>
          </w:p>
        </w:tc>
      </w:tr>
      <w:tr>
        <w:tc>
          <w:tcPr>
            <w:tcW w:type="dxa" w:w="3317"/>
            <w:vAlign w:val="center"/>
          </w:tcPr>
          <w:p>
            <w:r/>
            <w:r>
              <w:rPr>
                <w:sz w:val="15"/>
              </w:rPr>
              <w:t>restecg</w:t>
            </w:r>
          </w:p>
        </w:tc>
        <w:tc>
          <w:tcPr>
            <w:tcW w:type="dxa" w:w="3317"/>
            <w:vAlign w:val="center"/>
          </w:tcPr>
          <w:p>
            <w:r/>
            <w:r>
              <w:rPr>
                <w:sz w:val="15"/>
              </w:rPr>
              <w:t>Resting ECG category 0–2</w:t>
            </w:r>
          </w:p>
        </w:tc>
        <w:tc>
          <w:tcPr>
            <w:tcW w:type="dxa" w:w="3317"/>
            <w:vAlign w:val="center"/>
          </w:tcPr>
          <w:p>
            <w:r/>
            <w:r>
              <w:rPr>
                <w:sz w:val="15"/>
              </w:rPr>
              <w:t>integer</w:t>
            </w:r>
          </w:p>
        </w:tc>
      </w:tr>
      <w:tr>
        <w:tc>
          <w:tcPr>
            <w:tcW w:type="dxa" w:w="3317"/>
            <w:vAlign w:val="center"/>
            <w:shd w:fill="EEF3F8"/>
          </w:tcPr>
          <w:p>
            <w:r/>
            <w:r>
              <w:rPr>
                <w:sz w:val="15"/>
              </w:rPr>
              <w:t>thalach</w:t>
            </w:r>
          </w:p>
        </w:tc>
        <w:tc>
          <w:tcPr>
            <w:tcW w:type="dxa" w:w="3317"/>
            <w:vAlign w:val="center"/>
            <w:shd w:fill="EEF3F8"/>
          </w:tcPr>
          <w:p>
            <w:r/>
            <w:r>
              <w:rPr>
                <w:sz w:val="15"/>
              </w:rPr>
              <w:t>Maximum heart rate; numeric</w:t>
            </w:r>
          </w:p>
        </w:tc>
        <w:tc>
          <w:tcPr>
            <w:tcW w:type="dxa" w:w="3317"/>
            <w:vAlign w:val="center"/>
            <w:shd w:fill="EEF3F8"/>
          </w:tcPr>
          <w:p>
            <w:r/>
            <w:r>
              <w:rPr>
                <w:sz w:val="15"/>
              </w:rPr>
              <w:t>number</w:t>
            </w:r>
          </w:p>
        </w:tc>
      </w:tr>
      <w:tr>
        <w:tc>
          <w:tcPr>
            <w:tcW w:type="dxa" w:w="3317"/>
            <w:vAlign w:val="center"/>
          </w:tcPr>
          <w:p>
            <w:r/>
            <w:r>
              <w:rPr>
                <w:sz w:val="15"/>
              </w:rPr>
              <w:t>exang</w:t>
            </w:r>
          </w:p>
        </w:tc>
        <w:tc>
          <w:tcPr>
            <w:tcW w:type="dxa" w:w="3317"/>
            <w:vAlign w:val="center"/>
          </w:tcPr>
          <w:p>
            <w:r/>
            <w:r>
              <w:rPr>
                <w:sz w:val="15"/>
              </w:rPr>
              <w:t>Exercise-induced angina code</w:t>
            </w:r>
          </w:p>
        </w:tc>
        <w:tc>
          <w:tcPr>
            <w:tcW w:type="dxa" w:w="3317"/>
            <w:vAlign w:val="center"/>
          </w:tcPr>
          <w:p>
            <w:r/>
            <w:r>
              <w:rPr>
                <w:sz w:val="15"/>
              </w:rPr>
              <w:t>integer</w:t>
            </w:r>
          </w:p>
        </w:tc>
      </w:tr>
      <w:tr>
        <w:tc>
          <w:tcPr>
            <w:tcW w:type="dxa" w:w="3317"/>
            <w:vAlign w:val="center"/>
            <w:shd w:fill="EEF3F8"/>
          </w:tcPr>
          <w:p>
            <w:r/>
            <w:r>
              <w:rPr>
                <w:sz w:val="15"/>
              </w:rPr>
              <w:t>oldpeak</w:t>
            </w:r>
          </w:p>
        </w:tc>
        <w:tc>
          <w:tcPr>
            <w:tcW w:type="dxa" w:w="3317"/>
            <w:vAlign w:val="center"/>
            <w:shd w:fill="EEF3F8"/>
          </w:tcPr>
          <w:p>
            <w:r/>
            <w:r>
              <w:rPr>
                <w:sz w:val="15"/>
              </w:rPr>
              <w:t>ST depression; numeric</w:t>
            </w:r>
          </w:p>
        </w:tc>
        <w:tc>
          <w:tcPr>
            <w:tcW w:type="dxa" w:w="3317"/>
            <w:vAlign w:val="center"/>
            <w:shd w:fill="EEF3F8"/>
          </w:tcPr>
          <w:p>
            <w:r/>
            <w:r>
              <w:rPr>
                <w:sz w:val="15"/>
              </w:rPr>
              <w:t>number</w:t>
            </w:r>
          </w:p>
        </w:tc>
      </w:tr>
      <w:tr>
        <w:tc>
          <w:tcPr>
            <w:tcW w:type="dxa" w:w="3317"/>
            <w:vAlign w:val="center"/>
          </w:tcPr>
          <w:p>
            <w:r/>
            <w:r>
              <w:rPr>
                <w:sz w:val="15"/>
              </w:rPr>
              <w:t>slope</w:t>
            </w:r>
          </w:p>
        </w:tc>
        <w:tc>
          <w:tcPr>
            <w:tcW w:type="dxa" w:w="3317"/>
            <w:vAlign w:val="center"/>
          </w:tcPr>
          <w:p>
            <w:r/>
            <w:r>
              <w:rPr>
                <w:sz w:val="15"/>
              </w:rPr>
              <w:t>Peak exercise ST slope code</w:t>
            </w:r>
          </w:p>
        </w:tc>
        <w:tc>
          <w:tcPr>
            <w:tcW w:type="dxa" w:w="3317"/>
            <w:vAlign w:val="center"/>
          </w:tcPr>
          <w:p>
            <w:r/>
            <w:r>
              <w:rPr>
                <w:sz w:val="15"/>
              </w:rPr>
              <w:t>integer</w:t>
            </w:r>
          </w:p>
        </w:tc>
      </w:tr>
      <w:tr>
        <w:tc>
          <w:tcPr>
            <w:tcW w:type="dxa" w:w="3317"/>
            <w:vAlign w:val="center"/>
            <w:shd w:fill="EEF3F8"/>
          </w:tcPr>
          <w:p>
            <w:r/>
            <w:r>
              <w:rPr>
                <w:sz w:val="15"/>
              </w:rPr>
              <w:t>ca</w:t>
            </w:r>
          </w:p>
        </w:tc>
        <w:tc>
          <w:tcPr>
            <w:tcW w:type="dxa" w:w="3317"/>
            <w:vAlign w:val="center"/>
            <w:shd w:fill="EEF3F8"/>
          </w:tcPr>
          <w:p>
            <w:r/>
            <w:r>
              <w:rPr>
                <w:sz w:val="15"/>
              </w:rPr>
              <w:t>Major-vessel category/count code</w:t>
            </w:r>
          </w:p>
        </w:tc>
        <w:tc>
          <w:tcPr>
            <w:tcW w:type="dxa" w:w="3317"/>
            <w:vAlign w:val="center"/>
            <w:shd w:fill="EEF3F8"/>
          </w:tcPr>
          <w:p>
            <w:r/>
            <w:r>
              <w:rPr>
                <w:sz w:val="15"/>
              </w:rPr>
              <w:t>integer</w:t>
            </w:r>
          </w:p>
        </w:tc>
      </w:tr>
      <w:tr>
        <w:tc>
          <w:tcPr>
            <w:tcW w:type="dxa" w:w="3317"/>
            <w:vAlign w:val="center"/>
          </w:tcPr>
          <w:p>
            <w:r/>
            <w:r>
              <w:rPr>
                <w:sz w:val="15"/>
              </w:rPr>
              <w:t>thal</w:t>
            </w:r>
          </w:p>
        </w:tc>
        <w:tc>
          <w:tcPr>
            <w:tcW w:type="dxa" w:w="3317"/>
            <w:vAlign w:val="center"/>
          </w:tcPr>
          <w:p>
            <w:r/>
            <w:r>
              <w:rPr>
                <w:sz w:val="15"/>
              </w:rPr>
              <w:t>Thalassemia test category</w:t>
            </w:r>
          </w:p>
        </w:tc>
        <w:tc>
          <w:tcPr>
            <w:tcW w:type="dxa" w:w="3317"/>
            <w:vAlign w:val="center"/>
          </w:tcPr>
          <w:p>
            <w:r/>
            <w:r>
              <w:rPr>
                <w:sz w:val="15"/>
              </w:rPr>
              <w:t>integer</w:t>
            </w:r>
          </w:p>
        </w:tc>
      </w:tr>
    </w:tbl>
    <w:p>
      <w:pPr>
        <w:spacing w:after="0"/>
      </w:pPr>
    </w:p>
    <w:p>
      <w:r>
        <w:t>Numeric features: median imputation then standard scaling. Coded categorical features: most-frequent imputation then one-hot encoding. Both transformations live inside the scikit-learn pipeline and are fitted separately within each CV fold. The held-out test partition is not used to estimate preprocessing statistics. The packaged model contains the fitted transforms; inference does not refit them.</w:t>
      </w:r>
    </w:p>
    <w:p>
      <w:r>
        <w:br w:type="page"/>
      </w:r>
    </w:p>
    <w:p>
      <w:pPr>
        <w:pStyle w:val="Heading1"/>
      </w:pPr>
      <w:r>
        <w:t>5. Training Method and Cross-Validation Results</w:t>
      </w:r>
    </w:p>
    <w:p>
      <w:r>
        <w:t>Candidates share the same data split. The selection rule is highest mean ROC-AUC across five stratified folds on training data. Test scores are calculated only after selection and do not tune the models.</w:t>
      </w:r>
    </w:p>
    <w:tbl>
      <w:tblPr>
        <w:tblStyle w:val="TableGrid"/>
        <w:tblW w:type="auto" w:w="0"/>
        <w:jc w:val="center"/>
        <w:tblLook w:firstColumn="1" w:firstRow="1" w:lastColumn="0" w:lastRow="0" w:noHBand="0" w:noVBand="1" w:val="04A0"/>
      </w:tblPr>
      <w:tblGrid>
        <w:gridCol w:w="1990"/>
        <w:gridCol w:w="1990"/>
        <w:gridCol w:w="1990"/>
        <w:gridCol w:w="1990"/>
        <w:gridCol w:w="1990"/>
      </w:tblGrid>
      <w:tr>
        <w:tc>
          <w:tcPr>
            <w:tcW w:type="dxa" w:w="1990"/>
            <w:vAlign w:val="center"/>
            <w:shd w:fill="17365D"/>
          </w:tcPr>
          <w:p>
            <w:r/>
            <w:r>
              <w:rPr>
                <w:b/>
                <w:color w:val="FFFFFF"/>
                <w:sz w:val="15"/>
              </w:rPr>
              <w:t>Candidate</w:t>
            </w:r>
          </w:p>
        </w:tc>
        <w:tc>
          <w:tcPr>
            <w:tcW w:type="dxa" w:w="1990"/>
            <w:vAlign w:val="center"/>
            <w:shd w:fill="17365D"/>
          </w:tcPr>
          <w:p>
            <w:r/>
            <w:r>
              <w:rPr>
                <w:b/>
                <w:color w:val="FFFFFF"/>
                <w:sz w:val="15"/>
              </w:rPr>
              <w:t>CV accuracy\nmean ± SD</w:t>
            </w:r>
          </w:p>
        </w:tc>
        <w:tc>
          <w:tcPr>
            <w:tcW w:type="dxa" w:w="1990"/>
            <w:vAlign w:val="center"/>
            <w:shd w:fill="17365D"/>
          </w:tcPr>
          <w:p>
            <w:r/>
            <w:r>
              <w:rPr>
                <w:b/>
                <w:color w:val="FFFFFF"/>
                <w:sz w:val="15"/>
              </w:rPr>
              <w:t>CV precision\nmean ± SD</w:t>
            </w:r>
          </w:p>
        </w:tc>
        <w:tc>
          <w:tcPr>
            <w:tcW w:type="dxa" w:w="1990"/>
            <w:vAlign w:val="center"/>
            <w:shd w:fill="17365D"/>
          </w:tcPr>
          <w:p>
            <w:r/>
            <w:r>
              <w:rPr>
                <w:b/>
                <w:color w:val="FFFFFF"/>
                <w:sz w:val="15"/>
              </w:rPr>
              <w:t>CV recall\nmean ± SD</w:t>
            </w:r>
          </w:p>
        </w:tc>
        <w:tc>
          <w:tcPr>
            <w:tcW w:type="dxa" w:w="1990"/>
            <w:vAlign w:val="center"/>
            <w:shd w:fill="17365D"/>
          </w:tcPr>
          <w:p>
            <w:r/>
            <w:r>
              <w:rPr>
                <w:b/>
                <w:color w:val="FFFFFF"/>
                <w:sz w:val="15"/>
              </w:rPr>
              <w:t>CV ROC-AUC\nmean ± SD</w:t>
            </w:r>
          </w:p>
        </w:tc>
      </w:tr>
      <w:tr>
        <w:tc>
          <w:tcPr>
            <w:tcW w:type="dxa" w:w="1990"/>
            <w:vAlign w:val="center"/>
          </w:tcPr>
          <w:p>
            <w:r/>
            <w:r>
              <w:rPr>
                <w:sz w:val="15"/>
              </w:rPr>
              <w:t>Logistic Regression</w:t>
            </w:r>
          </w:p>
        </w:tc>
        <w:tc>
          <w:tcPr>
            <w:tcW w:type="dxa" w:w="1990"/>
            <w:vAlign w:val="center"/>
          </w:tcPr>
          <w:p>
            <w:r/>
            <w:r>
              <w:rPr>
                <w:sz w:val="15"/>
              </w:rPr>
              <w:t>0.8471 ± 0.0112</w:t>
            </w:r>
          </w:p>
        </w:tc>
        <w:tc>
          <w:tcPr>
            <w:tcW w:type="dxa" w:w="1990"/>
            <w:vAlign w:val="center"/>
          </w:tcPr>
          <w:p>
            <w:r/>
            <w:r>
              <w:rPr>
                <w:sz w:val="15"/>
              </w:rPr>
              <w:t>0.8768 ± 0.0606</w:t>
            </w:r>
          </w:p>
        </w:tc>
        <w:tc>
          <w:tcPr>
            <w:tcW w:type="dxa" w:w="1990"/>
            <w:vAlign w:val="center"/>
          </w:tcPr>
          <w:p>
            <w:r/>
            <w:r>
              <w:rPr>
                <w:sz w:val="15"/>
              </w:rPr>
              <w:t>0.7834 ± 0.0513</w:t>
            </w:r>
          </w:p>
        </w:tc>
        <w:tc>
          <w:tcPr>
            <w:tcW w:type="dxa" w:w="1990"/>
            <w:vAlign w:val="center"/>
          </w:tcPr>
          <w:p>
            <w:r/>
            <w:r>
              <w:rPr>
                <w:sz w:val="15"/>
              </w:rPr>
              <w:t>0.9025 ± 0.0161</w:t>
            </w:r>
          </w:p>
        </w:tc>
      </w:tr>
      <w:tr>
        <w:tc>
          <w:tcPr>
            <w:tcW w:type="dxa" w:w="1990"/>
            <w:vAlign w:val="center"/>
            <w:shd w:fill="EEF3F8"/>
          </w:tcPr>
          <w:p>
            <w:r/>
            <w:r>
              <w:rPr>
                <w:sz w:val="15"/>
              </w:rPr>
              <w:t>Random Forest</w:t>
            </w:r>
          </w:p>
        </w:tc>
        <w:tc>
          <w:tcPr>
            <w:tcW w:type="dxa" w:w="1990"/>
            <w:vAlign w:val="center"/>
            <w:shd w:fill="EEF3F8"/>
          </w:tcPr>
          <w:p>
            <w:r/>
            <w:r>
              <w:rPr>
                <w:sz w:val="15"/>
              </w:rPr>
              <w:t>0.8139 ± 0.0259</w:t>
            </w:r>
          </w:p>
        </w:tc>
        <w:tc>
          <w:tcPr>
            <w:tcW w:type="dxa" w:w="1990"/>
            <w:vAlign w:val="center"/>
            <w:shd w:fill="EEF3F8"/>
          </w:tcPr>
          <w:p>
            <w:r/>
            <w:r>
              <w:rPr>
                <w:sz w:val="15"/>
              </w:rPr>
              <w:t>0.7967 ± 0.0298</w:t>
            </w:r>
          </w:p>
        </w:tc>
        <w:tc>
          <w:tcPr>
            <w:tcW w:type="dxa" w:w="1990"/>
            <w:vAlign w:val="center"/>
            <w:shd w:fill="EEF3F8"/>
          </w:tcPr>
          <w:p>
            <w:r/>
            <w:r>
              <w:rPr>
                <w:sz w:val="15"/>
              </w:rPr>
              <w:t>0.8008 ± 0.0898</w:t>
            </w:r>
          </w:p>
        </w:tc>
        <w:tc>
          <w:tcPr>
            <w:tcW w:type="dxa" w:w="1990"/>
            <w:vAlign w:val="center"/>
            <w:shd w:fill="EEF3F8"/>
          </w:tcPr>
          <w:p>
            <w:r/>
            <w:r>
              <w:rPr>
                <w:sz w:val="15"/>
              </w:rPr>
              <w:t>0.8936 ± 0.0372</w:t>
            </w:r>
          </w:p>
        </w:tc>
      </w:tr>
    </w:tbl>
    <w:p>
      <w:pPr>
        <w:spacing w:after="0"/>
      </w:pPr>
    </w:p>
    <w:p>
      <w:pPr>
        <w:pStyle w:val="Heading2"/>
      </w:pPr>
      <w:r>
        <w:t>Selection and reproducibility</w:t>
      </w:r>
    </w:p>
    <w:p>
      <w:r>
        <w:t>Logistic Regression was selected: its training-only CV mean ROC-AUC 0.902493 exceeded Random Forest’s 0.893573. The standard deviations are the recorded sample standard deviations across folds. Split seed, fold count and selection rule are in the saved evaluation report.</w:t>
      </w:r>
    </w:p>
    <w:p>
      <w:pPr>
        <w:pStyle w:val="Heading2"/>
      </w:pPr>
      <w:r>
        <w:t>Interpretation</w:t>
      </w:r>
    </w:p>
    <w:p>
      <w:r>
        <w:t>This is a small, single-subset educational baseline, not independent external validation or evidence of clinical performance. Results may not generalize to other populations or settings.</w:t>
      </w:r>
    </w:p>
    <w:p>
      <w:r>
        <w:br w:type="page"/>
      </w:r>
    </w:p>
    <w:p>
      <w:pPr>
        <w:pStyle w:val="Heading1"/>
      </w:pPr>
      <w:r>
        <w:t>5.1 Held-Out Test Results</w:t>
      </w:r>
    </w:p>
    <w:p>
      <w:r>
        <w:t>The final 61-row test split was held aside for evaluation. Precision, recall and F1 below refer to the presence class (binary label 1).</w:t>
      </w:r>
    </w:p>
    <w:tbl>
      <w:tblPr>
        <w:tblStyle w:val="TableGrid"/>
        <w:tblW w:type="auto" w:w="0"/>
        <w:jc w:val="center"/>
        <w:tblLook w:firstColumn="1" w:firstRow="1" w:lastColumn="0" w:lastRow="0" w:noHBand="0" w:noVBand="1" w:val="04A0"/>
      </w:tblPr>
      <w:tblGrid>
        <w:gridCol w:w="1658"/>
        <w:gridCol w:w="1658"/>
        <w:gridCol w:w="1658"/>
        <w:gridCol w:w="1658"/>
        <w:gridCol w:w="1658"/>
        <w:gridCol w:w="1658"/>
      </w:tblGrid>
      <w:tr>
        <w:tc>
          <w:tcPr>
            <w:tcW w:type="dxa" w:w="1658"/>
            <w:vAlign w:val="center"/>
            <w:shd w:fill="17365D"/>
          </w:tcPr>
          <w:p>
            <w:r/>
            <w:r>
              <w:rPr>
                <w:b/>
                <w:color w:val="FFFFFF"/>
                <w:sz w:val="15"/>
              </w:rPr>
              <w:t>Model</w:t>
            </w:r>
          </w:p>
        </w:tc>
        <w:tc>
          <w:tcPr>
            <w:tcW w:type="dxa" w:w="1658"/>
            <w:vAlign w:val="center"/>
            <w:shd w:fill="17365D"/>
          </w:tcPr>
          <w:p>
            <w:r/>
            <w:r>
              <w:rPr>
                <w:b/>
                <w:color w:val="FFFFFF"/>
                <w:sz w:val="15"/>
              </w:rPr>
              <w:t>Accuracy</w:t>
            </w:r>
          </w:p>
        </w:tc>
        <w:tc>
          <w:tcPr>
            <w:tcW w:type="dxa" w:w="1658"/>
            <w:vAlign w:val="center"/>
            <w:shd w:fill="17365D"/>
          </w:tcPr>
          <w:p>
            <w:r/>
            <w:r>
              <w:rPr>
                <w:b/>
                <w:color w:val="FFFFFF"/>
                <w:sz w:val="15"/>
              </w:rPr>
              <w:t>Precision</w:t>
            </w:r>
          </w:p>
        </w:tc>
        <w:tc>
          <w:tcPr>
            <w:tcW w:type="dxa" w:w="1658"/>
            <w:vAlign w:val="center"/>
            <w:shd w:fill="17365D"/>
          </w:tcPr>
          <w:p>
            <w:r/>
            <w:r>
              <w:rPr>
                <w:b/>
                <w:color w:val="FFFFFF"/>
                <w:sz w:val="15"/>
              </w:rPr>
              <w:t>Recall</w:t>
            </w:r>
          </w:p>
        </w:tc>
        <w:tc>
          <w:tcPr>
            <w:tcW w:type="dxa" w:w="1658"/>
            <w:vAlign w:val="center"/>
            <w:shd w:fill="17365D"/>
          </w:tcPr>
          <w:p>
            <w:r/>
            <w:r>
              <w:rPr>
                <w:b/>
                <w:color w:val="FFFFFF"/>
                <w:sz w:val="15"/>
              </w:rPr>
              <w:t>F1</w:t>
            </w:r>
          </w:p>
        </w:tc>
        <w:tc>
          <w:tcPr>
            <w:tcW w:type="dxa" w:w="1658"/>
            <w:vAlign w:val="center"/>
            <w:shd w:fill="17365D"/>
          </w:tcPr>
          <w:p>
            <w:r/>
            <w:r>
              <w:rPr>
                <w:b/>
                <w:color w:val="FFFFFF"/>
                <w:sz w:val="15"/>
              </w:rPr>
              <w:t>ROC-AUC</w:t>
            </w:r>
          </w:p>
        </w:tc>
      </w:tr>
      <w:tr>
        <w:tc>
          <w:tcPr>
            <w:tcW w:type="dxa" w:w="1658"/>
            <w:vAlign w:val="center"/>
          </w:tcPr>
          <w:p>
            <w:r/>
            <w:r>
              <w:rPr>
                <w:sz w:val="15"/>
              </w:rPr>
              <w:t>Logistic Regression (selected)</w:t>
            </w:r>
          </w:p>
        </w:tc>
        <w:tc>
          <w:tcPr>
            <w:tcW w:type="dxa" w:w="1658"/>
            <w:vAlign w:val="center"/>
          </w:tcPr>
          <w:p>
            <w:r/>
            <w:r>
              <w:rPr>
                <w:sz w:val="15"/>
              </w:rPr>
              <w:t>0.8852</w:t>
            </w:r>
          </w:p>
        </w:tc>
        <w:tc>
          <w:tcPr>
            <w:tcW w:type="dxa" w:w="1658"/>
            <w:vAlign w:val="center"/>
          </w:tcPr>
          <w:p>
            <w:r/>
            <w:r>
              <w:rPr>
                <w:sz w:val="15"/>
              </w:rPr>
              <w:t>0.8387</w:t>
            </w:r>
          </w:p>
        </w:tc>
        <w:tc>
          <w:tcPr>
            <w:tcW w:type="dxa" w:w="1658"/>
            <w:vAlign w:val="center"/>
          </w:tcPr>
          <w:p>
            <w:r/>
            <w:r>
              <w:rPr>
                <w:sz w:val="15"/>
              </w:rPr>
              <w:t>0.9286</w:t>
            </w:r>
          </w:p>
        </w:tc>
        <w:tc>
          <w:tcPr>
            <w:tcW w:type="dxa" w:w="1658"/>
            <w:vAlign w:val="center"/>
          </w:tcPr>
          <w:p>
            <w:r/>
            <w:r>
              <w:rPr>
                <w:sz w:val="15"/>
              </w:rPr>
              <w:t>0.8814</w:t>
            </w:r>
          </w:p>
        </w:tc>
        <w:tc>
          <w:tcPr>
            <w:tcW w:type="dxa" w:w="1658"/>
            <w:vAlign w:val="center"/>
          </w:tcPr>
          <w:p>
            <w:r/>
            <w:r>
              <w:rPr>
                <w:sz w:val="15"/>
              </w:rPr>
              <w:t>0.9665</w:t>
            </w:r>
          </w:p>
        </w:tc>
      </w:tr>
      <w:tr>
        <w:tc>
          <w:tcPr>
            <w:tcW w:type="dxa" w:w="1658"/>
            <w:vAlign w:val="center"/>
            <w:shd w:fill="EEF3F8"/>
          </w:tcPr>
          <w:p>
            <w:r/>
            <w:r>
              <w:rPr>
                <w:sz w:val="15"/>
              </w:rPr>
              <w:t>Random Forest</w:t>
            </w:r>
          </w:p>
        </w:tc>
        <w:tc>
          <w:tcPr>
            <w:tcW w:type="dxa" w:w="1658"/>
            <w:vAlign w:val="center"/>
            <w:shd w:fill="EEF3F8"/>
          </w:tcPr>
          <w:p>
            <w:r/>
            <w:r>
              <w:rPr>
                <w:sz w:val="15"/>
              </w:rPr>
              <w:t>0.8689</w:t>
            </w:r>
          </w:p>
        </w:tc>
        <w:tc>
          <w:tcPr>
            <w:tcW w:type="dxa" w:w="1658"/>
            <w:vAlign w:val="center"/>
            <w:shd w:fill="EEF3F8"/>
          </w:tcPr>
          <w:p>
            <w:r/>
            <w:r>
              <w:rPr>
                <w:sz w:val="15"/>
              </w:rPr>
              <w:t>0.8125</w:t>
            </w:r>
          </w:p>
        </w:tc>
        <w:tc>
          <w:tcPr>
            <w:tcW w:type="dxa" w:w="1658"/>
            <w:vAlign w:val="center"/>
            <w:shd w:fill="EEF3F8"/>
          </w:tcPr>
          <w:p>
            <w:r/>
            <w:r>
              <w:rPr>
                <w:sz w:val="15"/>
              </w:rPr>
              <w:t>0.9286</w:t>
            </w:r>
          </w:p>
        </w:tc>
        <w:tc>
          <w:tcPr>
            <w:tcW w:type="dxa" w:w="1658"/>
            <w:vAlign w:val="center"/>
            <w:shd w:fill="EEF3F8"/>
          </w:tcPr>
          <w:p>
            <w:r/>
            <w:r>
              <w:rPr>
                <w:sz w:val="15"/>
              </w:rPr>
              <w:t>0.8667</w:t>
            </w:r>
          </w:p>
        </w:tc>
        <w:tc>
          <w:tcPr>
            <w:tcW w:type="dxa" w:w="1658"/>
            <w:vAlign w:val="center"/>
            <w:shd w:fill="EEF3F8"/>
          </w:tcPr>
          <w:p>
            <w:r/>
            <w:r>
              <w:rPr>
                <w:sz w:val="15"/>
              </w:rPr>
              <w:t>0.9443</w:t>
            </w:r>
          </w:p>
        </w:tc>
      </w:tr>
    </w:tbl>
    <w:p>
      <w:pPr>
        <w:spacing w:after="0"/>
      </w:pPr>
    </w:p>
    <w:p>
      <w:r>
        <w:t>Confusion matrix label order for rows and columns is [absence, presence]. Logistic Regression: [[28,5],[2,26]]. Random Forest: [[27,6],[2,26]].</w:t>
      </w:r>
    </w:p>
    <w:p>
      <w:pPr>
        <w:spacing w:after="0"/>
        <w:jc w:val="center"/>
      </w:pPr>
      <w:r>
        <w:drawing>
          <wp:inline xmlns:a="http://schemas.openxmlformats.org/drawingml/2006/main" xmlns:pic="http://schemas.openxmlformats.org/drawingml/2006/picture">
            <wp:extent cx="3429000" cy="2423160"/>
            <wp:docPr id="9" name="Picture 9"/>
            <wp:cNvGraphicFramePr>
              <a:graphicFrameLocks noChangeAspect="1"/>
            </wp:cNvGraphicFramePr>
            <a:graphic>
              <a:graphicData uri="http://schemas.openxmlformats.org/drawingml/2006/picture">
                <pic:pic>
                  <pic:nvPicPr>
                    <pic:cNvPr id="0" name="logistic_regression_test_confusion_matrix.png"/>
                    <pic:cNvPicPr/>
                  </pic:nvPicPr>
                  <pic:blipFill>
                    <a:blip r:embed="rId15"/>
                    <a:stretch>
                      <a:fillRect/>
                    </a:stretch>
                  </pic:blipFill>
                  <pic:spPr>
                    <a:xfrm>
                      <a:off x="0" y="0"/>
                      <a:ext cx="3429000" cy="2423160"/>
                    </a:xfrm>
                    <a:prstGeom prst="rect"/>
                  </pic:spPr>
                </pic:pic>
              </a:graphicData>
            </a:graphic>
          </wp:inline>
        </w:drawing>
      </w:r>
    </w:p>
    <w:p>
      <w:pPr>
        <w:pStyle w:val="Caption"/>
        <w:spacing w:after="40"/>
        <w:jc w:val="center"/>
      </w:pPr>
      <w:r>
        <w:t>Figure 9. Logistic Regression held-out confusion matrix.</w:t>
      </w:r>
    </w:p>
    <w:p>
      <w:pPr>
        <w:spacing w:after="0"/>
        <w:jc w:val="center"/>
      </w:pPr>
      <w:r>
        <w:drawing>
          <wp:inline xmlns:a="http://schemas.openxmlformats.org/drawingml/2006/main" xmlns:pic="http://schemas.openxmlformats.org/drawingml/2006/picture">
            <wp:extent cx="3429000" cy="2423160"/>
            <wp:docPr id="10" name="Picture 10"/>
            <wp:cNvGraphicFramePr>
              <a:graphicFrameLocks noChangeAspect="1"/>
            </wp:cNvGraphicFramePr>
            <a:graphic>
              <a:graphicData uri="http://schemas.openxmlformats.org/drawingml/2006/picture">
                <pic:pic>
                  <pic:nvPicPr>
                    <pic:cNvPr id="0" name="random_forest_test_confusion_matrix.png"/>
                    <pic:cNvPicPr/>
                  </pic:nvPicPr>
                  <pic:blipFill>
                    <a:blip r:embed="rId16"/>
                    <a:stretch>
                      <a:fillRect/>
                    </a:stretch>
                  </pic:blipFill>
                  <pic:spPr>
                    <a:xfrm>
                      <a:off x="0" y="0"/>
                      <a:ext cx="3429000" cy="2423160"/>
                    </a:xfrm>
                    <a:prstGeom prst="rect"/>
                  </pic:spPr>
                </pic:pic>
              </a:graphicData>
            </a:graphic>
          </wp:inline>
        </w:drawing>
      </w:r>
    </w:p>
    <w:p>
      <w:pPr>
        <w:pStyle w:val="Caption"/>
        <w:spacing w:after="40"/>
        <w:jc w:val="center"/>
      </w:pPr>
      <w:r>
        <w:t>Figure 10. Random Forest held-out confusion matrix.</w:t>
      </w:r>
    </w:p>
    <w:p>
      <w:r>
        <w:t>Selected fitted artifact: artifacts/final_heart_disease_pipeline.joblib. Metadata: artifacts/final_heart_disease_metadata.json. Recorded SHA-256: 3432bdf59ce436280d5084d20d97f2254c5515163712c64ef096a66f454f370c.</w:t>
      </w:r>
    </w:p>
    <w:p>
      <w:r>
        <w:br w:type="page"/>
      </w:r>
    </w:p>
    <w:p>
      <w:pPr>
        <w:pStyle w:val="Heading1"/>
      </w:pPr>
      <w:r>
        <w:t>6. MLflow Experiment Tracking and Run Evidence</w:t>
      </w:r>
    </w:p>
    <w:p>
      <w:r>
        <w:t>Local tracking uses SQLite metadata in mlflow.db and run artifacts in mlartifacts/. Experiment heart-disease-classification has ID 1. The experiment script and UI must use this same tracking store to show the existing parameters, metrics, and runs.</w:t>
      </w:r>
    </w:p>
    <w:tbl>
      <w:tblPr>
        <w:tblStyle w:val="TableGrid"/>
        <w:tblW w:type="auto" w:w="0"/>
        <w:jc w:val="center"/>
        <w:tblLook w:firstColumn="1" w:firstRow="1" w:lastColumn="0" w:lastRow="0" w:noHBand="0" w:noVBand="1" w:val="04A0"/>
      </w:tblPr>
      <w:tblGrid>
        <w:gridCol w:w="1658"/>
        <w:gridCol w:w="1658"/>
        <w:gridCol w:w="1658"/>
        <w:gridCol w:w="1658"/>
        <w:gridCol w:w="1658"/>
        <w:gridCol w:w="1658"/>
      </w:tblGrid>
      <w:tr>
        <w:tc>
          <w:tcPr>
            <w:tcW w:type="dxa" w:w="1658"/>
            <w:vAlign w:val="center"/>
            <w:shd w:fill="17365D"/>
          </w:tcPr>
          <w:p>
            <w:r/>
            <w:r>
              <w:rPr>
                <w:b/>
                <w:color w:val="FFFFFF"/>
                <w:sz w:val="15"/>
              </w:rPr>
              <w:t>Run ID</w:t>
            </w:r>
          </w:p>
        </w:tc>
        <w:tc>
          <w:tcPr>
            <w:tcW w:type="dxa" w:w="1658"/>
            <w:vAlign w:val="center"/>
            <w:shd w:fill="17365D"/>
          </w:tcPr>
          <w:p>
            <w:r/>
            <w:r>
              <w:rPr>
                <w:b/>
                <w:color w:val="FFFFFF"/>
                <w:sz w:val="15"/>
              </w:rPr>
              <w:t>Model</w:t>
            </w:r>
          </w:p>
        </w:tc>
        <w:tc>
          <w:tcPr>
            <w:tcW w:type="dxa" w:w="1658"/>
            <w:vAlign w:val="center"/>
            <w:shd w:fill="17365D"/>
          </w:tcPr>
          <w:p>
            <w:r/>
            <w:r>
              <w:rPr>
                <w:b/>
                <w:color w:val="FFFFFF"/>
                <w:sz w:val="15"/>
              </w:rPr>
              <w:t>Status</w:t>
            </w:r>
          </w:p>
        </w:tc>
        <w:tc>
          <w:tcPr>
            <w:tcW w:type="dxa" w:w="1658"/>
            <w:vAlign w:val="center"/>
            <w:shd w:fill="17365D"/>
          </w:tcPr>
          <w:p>
            <w:r/>
            <w:r>
              <w:rPr>
                <w:b/>
                <w:color w:val="FFFFFF"/>
                <w:sz w:val="15"/>
              </w:rPr>
              <w:t>CV ROC-AUC</w:t>
            </w:r>
          </w:p>
        </w:tc>
        <w:tc>
          <w:tcPr>
            <w:tcW w:type="dxa" w:w="1658"/>
            <w:vAlign w:val="center"/>
            <w:shd w:fill="17365D"/>
          </w:tcPr>
          <w:p>
            <w:r/>
            <w:r>
              <w:rPr>
                <w:b/>
                <w:color w:val="FFFFFF"/>
                <w:sz w:val="15"/>
              </w:rPr>
              <w:t>Test accuracy</w:t>
            </w:r>
          </w:p>
        </w:tc>
        <w:tc>
          <w:tcPr>
            <w:tcW w:type="dxa" w:w="1658"/>
            <w:vAlign w:val="center"/>
            <w:shd w:fill="17365D"/>
          </w:tcPr>
          <w:p>
            <w:r/>
            <w:r>
              <w:rPr>
                <w:b/>
                <w:color w:val="FFFFFF"/>
                <w:sz w:val="15"/>
              </w:rPr>
              <w:t>Test ROC-AUC</w:t>
            </w:r>
          </w:p>
        </w:tc>
      </w:tr>
      <w:tr>
        <w:tc>
          <w:tcPr>
            <w:tcW w:type="dxa" w:w="1658"/>
            <w:vAlign w:val="center"/>
          </w:tcPr>
          <w:p>
            <w:r/>
            <w:r>
              <w:rPr>
                <w:sz w:val="15"/>
              </w:rPr>
              <w:t>dd5b5052f3f549c3a8e46d3cf392ae19</w:t>
            </w:r>
          </w:p>
        </w:tc>
        <w:tc>
          <w:tcPr>
            <w:tcW w:type="dxa" w:w="1658"/>
            <w:vAlign w:val="center"/>
          </w:tcPr>
          <w:p>
            <w:r/>
            <w:r>
              <w:rPr>
                <w:sz w:val="15"/>
              </w:rPr>
              <w:t>Logistic Reg.</w:t>
            </w:r>
          </w:p>
        </w:tc>
        <w:tc>
          <w:tcPr>
            <w:tcW w:type="dxa" w:w="1658"/>
            <w:vAlign w:val="center"/>
          </w:tcPr>
          <w:p>
            <w:r/>
            <w:r>
              <w:rPr>
                <w:sz w:val="15"/>
              </w:rPr>
              <w:t>FAILED</w:t>
            </w:r>
          </w:p>
        </w:tc>
        <w:tc>
          <w:tcPr>
            <w:tcW w:type="dxa" w:w="1658"/>
            <w:vAlign w:val="center"/>
          </w:tcPr>
          <w:p>
            <w:r/>
            <w:r>
              <w:rPr>
                <w:sz w:val="15"/>
              </w:rPr>
              <w:t>0.9025</w:t>
            </w:r>
          </w:p>
        </w:tc>
        <w:tc>
          <w:tcPr>
            <w:tcW w:type="dxa" w:w="1658"/>
            <w:vAlign w:val="center"/>
          </w:tcPr>
          <w:p>
            <w:r/>
            <w:r>
              <w:rPr>
                <w:sz w:val="15"/>
              </w:rPr>
              <w:t>0.8852</w:t>
            </w:r>
          </w:p>
        </w:tc>
        <w:tc>
          <w:tcPr>
            <w:tcW w:type="dxa" w:w="1658"/>
            <w:vAlign w:val="center"/>
          </w:tcPr>
          <w:p>
            <w:r/>
            <w:r>
              <w:rPr>
                <w:sz w:val="15"/>
              </w:rPr>
              <w:t>0.9665</w:t>
            </w:r>
          </w:p>
        </w:tc>
      </w:tr>
      <w:tr>
        <w:tc>
          <w:tcPr>
            <w:tcW w:type="dxa" w:w="1658"/>
            <w:vAlign w:val="center"/>
            <w:shd w:fill="EEF3F8"/>
          </w:tcPr>
          <w:p>
            <w:r/>
            <w:r>
              <w:rPr>
                <w:sz w:val="15"/>
              </w:rPr>
              <w:t>860c5a6bda3b4d81abdc954cb6deea41</w:t>
            </w:r>
          </w:p>
        </w:tc>
        <w:tc>
          <w:tcPr>
            <w:tcW w:type="dxa" w:w="1658"/>
            <w:vAlign w:val="center"/>
            <w:shd w:fill="EEF3F8"/>
          </w:tcPr>
          <w:p>
            <w:r/>
            <w:r>
              <w:rPr>
                <w:sz w:val="15"/>
              </w:rPr>
              <w:t>Logistic Reg.</w:t>
            </w:r>
          </w:p>
        </w:tc>
        <w:tc>
          <w:tcPr>
            <w:tcW w:type="dxa" w:w="1658"/>
            <w:vAlign w:val="center"/>
            <w:shd w:fill="EEF3F8"/>
          </w:tcPr>
          <w:p>
            <w:r/>
            <w:r>
              <w:rPr>
                <w:sz w:val="15"/>
              </w:rPr>
              <w:t>FINISHED</w:t>
            </w:r>
          </w:p>
        </w:tc>
        <w:tc>
          <w:tcPr>
            <w:tcW w:type="dxa" w:w="1658"/>
            <w:vAlign w:val="center"/>
            <w:shd w:fill="EEF3F8"/>
          </w:tcPr>
          <w:p>
            <w:r/>
            <w:r>
              <w:rPr>
                <w:sz w:val="15"/>
              </w:rPr>
              <w:t>0.9025</w:t>
            </w:r>
          </w:p>
        </w:tc>
        <w:tc>
          <w:tcPr>
            <w:tcW w:type="dxa" w:w="1658"/>
            <w:vAlign w:val="center"/>
            <w:shd w:fill="EEF3F8"/>
          </w:tcPr>
          <w:p>
            <w:r/>
            <w:r>
              <w:rPr>
                <w:sz w:val="15"/>
              </w:rPr>
              <w:t>0.8852</w:t>
            </w:r>
          </w:p>
        </w:tc>
        <w:tc>
          <w:tcPr>
            <w:tcW w:type="dxa" w:w="1658"/>
            <w:vAlign w:val="center"/>
            <w:shd w:fill="EEF3F8"/>
          </w:tcPr>
          <w:p>
            <w:r/>
            <w:r>
              <w:rPr>
                <w:sz w:val="15"/>
              </w:rPr>
              <w:t>0.9665</w:t>
            </w:r>
          </w:p>
        </w:tc>
      </w:tr>
      <w:tr>
        <w:tc>
          <w:tcPr>
            <w:tcW w:type="dxa" w:w="1658"/>
            <w:vAlign w:val="center"/>
          </w:tcPr>
          <w:p>
            <w:r/>
            <w:r>
              <w:rPr>
                <w:sz w:val="15"/>
              </w:rPr>
              <w:t>fb6bfb53d35343bfad4d638619facf8e</w:t>
            </w:r>
          </w:p>
        </w:tc>
        <w:tc>
          <w:tcPr>
            <w:tcW w:type="dxa" w:w="1658"/>
            <w:vAlign w:val="center"/>
          </w:tcPr>
          <w:p>
            <w:r/>
            <w:r>
              <w:rPr>
                <w:sz w:val="15"/>
              </w:rPr>
              <w:t>Random Forest</w:t>
            </w:r>
          </w:p>
        </w:tc>
        <w:tc>
          <w:tcPr>
            <w:tcW w:type="dxa" w:w="1658"/>
            <w:vAlign w:val="center"/>
          </w:tcPr>
          <w:p>
            <w:r/>
            <w:r>
              <w:rPr>
                <w:sz w:val="15"/>
              </w:rPr>
              <w:t>FINISHED</w:t>
            </w:r>
          </w:p>
        </w:tc>
        <w:tc>
          <w:tcPr>
            <w:tcW w:type="dxa" w:w="1658"/>
            <w:vAlign w:val="center"/>
          </w:tcPr>
          <w:p>
            <w:r/>
            <w:r>
              <w:rPr>
                <w:sz w:val="15"/>
              </w:rPr>
              <w:t>0.8936</w:t>
            </w:r>
          </w:p>
        </w:tc>
        <w:tc>
          <w:tcPr>
            <w:tcW w:type="dxa" w:w="1658"/>
            <w:vAlign w:val="center"/>
          </w:tcPr>
          <w:p>
            <w:r/>
            <w:r>
              <w:rPr>
                <w:sz w:val="15"/>
              </w:rPr>
              <w:t>0.8689</w:t>
            </w:r>
          </w:p>
        </w:tc>
        <w:tc>
          <w:tcPr>
            <w:tcW w:type="dxa" w:w="1658"/>
            <w:vAlign w:val="center"/>
          </w:tcPr>
          <w:p>
            <w:r/>
            <w:r>
              <w:rPr>
                <w:sz w:val="15"/>
              </w:rPr>
              <w:t>0.9443</w:t>
            </w:r>
          </w:p>
        </w:tc>
      </w:tr>
      <w:tr>
        <w:tc>
          <w:tcPr>
            <w:tcW w:type="dxa" w:w="1658"/>
            <w:vAlign w:val="center"/>
            <w:shd w:fill="EEF3F8"/>
          </w:tcPr>
          <w:p>
            <w:r/>
            <w:r>
              <w:rPr>
                <w:sz w:val="15"/>
              </w:rPr>
              <w:t>b0d81c076d1f4aa0b803b3c7e4b0df34</w:t>
            </w:r>
          </w:p>
        </w:tc>
        <w:tc>
          <w:tcPr>
            <w:tcW w:type="dxa" w:w="1658"/>
            <w:vAlign w:val="center"/>
            <w:shd w:fill="EEF3F8"/>
          </w:tcPr>
          <w:p>
            <w:r/>
            <w:r>
              <w:rPr>
                <w:sz w:val="15"/>
              </w:rPr>
              <w:t>Logistic Reg.</w:t>
            </w:r>
          </w:p>
        </w:tc>
        <w:tc>
          <w:tcPr>
            <w:tcW w:type="dxa" w:w="1658"/>
            <w:vAlign w:val="center"/>
            <w:shd w:fill="EEF3F8"/>
          </w:tcPr>
          <w:p>
            <w:r/>
            <w:r>
              <w:rPr>
                <w:sz w:val="15"/>
              </w:rPr>
              <w:t>FINISHED</w:t>
            </w:r>
          </w:p>
        </w:tc>
        <w:tc>
          <w:tcPr>
            <w:tcW w:type="dxa" w:w="1658"/>
            <w:vAlign w:val="center"/>
            <w:shd w:fill="EEF3F8"/>
          </w:tcPr>
          <w:p>
            <w:r/>
            <w:r>
              <w:rPr>
                <w:sz w:val="15"/>
              </w:rPr>
              <w:t>0.9025</w:t>
            </w:r>
          </w:p>
        </w:tc>
        <w:tc>
          <w:tcPr>
            <w:tcW w:type="dxa" w:w="1658"/>
            <w:vAlign w:val="center"/>
            <w:shd w:fill="EEF3F8"/>
          </w:tcPr>
          <w:p>
            <w:r/>
            <w:r>
              <w:rPr>
                <w:sz w:val="15"/>
              </w:rPr>
              <w:t>0.8852</w:t>
            </w:r>
          </w:p>
        </w:tc>
        <w:tc>
          <w:tcPr>
            <w:tcW w:type="dxa" w:w="1658"/>
            <w:vAlign w:val="center"/>
            <w:shd w:fill="EEF3F8"/>
          </w:tcPr>
          <w:p>
            <w:r/>
            <w:r>
              <w:rPr>
                <w:sz w:val="15"/>
              </w:rPr>
              <w:t>0.9665</w:t>
            </w:r>
          </w:p>
        </w:tc>
      </w:tr>
      <w:tr>
        <w:tc>
          <w:tcPr>
            <w:tcW w:type="dxa" w:w="1658"/>
            <w:vAlign w:val="center"/>
          </w:tcPr>
          <w:p>
            <w:r/>
            <w:r>
              <w:rPr>
                <w:sz w:val="15"/>
              </w:rPr>
              <w:t>d81ef620515240d7b0c686d9a3abb2c4</w:t>
            </w:r>
          </w:p>
        </w:tc>
        <w:tc>
          <w:tcPr>
            <w:tcW w:type="dxa" w:w="1658"/>
            <w:vAlign w:val="center"/>
          </w:tcPr>
          <w:p>
            <w:r/>
            <w:r>
              <w:rPr>
                <w:sz w:val="15"/>
              </w:rPr>
              <w:t>Random Forest</w:t>
            </w:r>
          </w:p>
        </w:tc>
        <w:tc>
          <w:tcPr>
            <w:tcW w:type="dxa" w:w="1658"/>
            <w:vAlign w:val="center"/>
          </w:tcPr>
          <w:p>
            <w:r/>
            <w:r>
              <w:rPr>
                <w:sz w:val="15"/>
              </w:rPr>
              <w:t>FINISHED</w:t>
            </w:r>
          </w:p>
        </w:tc>
        <w:tc>
          <w:tcPr>
            <w:tcW w:type="dxa" w:w="1658"/>
            <w:vAlign w:val="center"/>
          </w:tcPr>
          <w:p>
            <w:r/>
            <w:r>
              <w:rPr>
                <w:sz w:val="15"/>
              </w:rPr>
              <w:t>0.8936</w:t>
            </w:r>
          </w:p>
        </w:tc>
        <w:tc>
          <w:tcPr>
            <w:tcW w:type="dxa" w:w="1658"/>
            <w:vAlign w:val="center"/>
          </w:tcPr>
          <w:p>
            <w:r/>
            <w:r>
              <w:rPr>
                <w:sz w:val="15"/>
              </w:rPr>
              <w:t>0.8689</w:t>
            </w:r>
          </w:p>
        </w:tc>
        <w:tc>
          <w:tcPr>
            <w:tcW w:type="dxa" w:w="1658"/>
            <w:vAlign w:val="center"/>
          </w:tcPr>
          <w:p>
            <w:r/>
            <w:r>
              <w:rPr>
                <w:sz w:val="15"/>
              </w:rPr>
              <w:t>0.9443</w:t>
            </w:r>
          </w:p>
        </w:tc>
      </w:tr>
    </w:tbl>
    <w:p>
      <w:pPr>
        <w:spacing w:after="0"/>
      </w:pPr>
    </w:p>
    <w:p>
      <w:r>
        <w:t>Recorded: four FINISHED runs and one FAILED run. Finished runs logged parameters and metrics. Values logged before the failed run stopped do not make it a completed run. The selected-run reference is b0d81c076d1f4aa0b803b3c7e4b0df34. Existing experiment records were preserved.</w:t>
      </w:r>
    </w:p>
    <w:p>
      <w:pPr>
        <w:pStyle w:val="Heading2"/>
      </w:pPr>
      <w:r>
        <w:t>Open the existing MLflow UI without retraining</w:t>
      </w:r>
    </w:p>
    <w:p>
      <w:pPr>
        <w:spacing w:after="20"/>
        <w:ind w:left="173"/>
        <w:shd w:fill="F1F4F7"/>
      </w:pPr>
      <w:r>
        <w:rPr>
          <w:rFonts w:ascii="Consolas" w:hAnsi="Consolas"/>
          <w:sz w:val="15"/>
        </w:rPr>
        <w:t>$trackingDb = (Join-Path $PWD 'mlflow.db') -replace '\\', '/'</w:t>
      </w:r>
    </w:p>
    <w:p>
      <w:pPr>
        <w:spacing w:after="20"/>
        <w:ind w:left="173"/>
        <w:shd w:fill="F1F4F7"/>
      </w:pPr>
      <w:r>
        <w:rPr>
          <w:rFonts w:ascii="Consolas" w:hAnsi="Consolas"/>
          <w:sz w:val="15"/>
        </w:rPr>
        <w:t>.\.venv\Scripts\python.exe -m mlflow ui --backend-store-uri "sqlite:///$trackingDb" --host 127.0.0.1 --port 5000</w:t>
      </w:r>
    </w:p>
    <w:p>
      <w:r>
        <w:t>Open http://127.0.0.1:5000 and select heart-disease-classification. Do not rerun the tracker just to view old runs.</w:t>
      </w:r>
    </w:p>
    <w:p>
      <w:r>
        <w:br w:type="page"/>
      </w:r>
    </w:p>
    <w:p>
      <w:pPr>
        <w:pStyle w:val="Heading1"/>
      </w:pPr>
      <w:r>
        <w:t>7. Packaged Model and FastAPI Contract</w:t>
      </w:r>
    </w:p>
    <w:p>
      <w:r>
        <w:t>The inference artifact contains the already fitted preprocessing pipeline and Logistic Regression classifier. Metadata records selected model, input schema, target mapping, package information, evaluation results, artifact digest and a successful MLflow run reference. Packaging copied/reused the selected model; it did not retrain it.</w:t>
      </w:r>
    </w:p>
    <w:tbl>
      <w:tblPr>
        <w:tblStyle w:val="TableGrid"/>
        <w:tblW w:type="auto" w:w="0"/>
        <w:jc w:val="center"/>
        <w:tblLook w:firstColumn="1" w:firstRow="1" w:lastColumn="0" w:lastRow="0" w:noHBand="0" w:noVBand="1" w:val="04A0"/>
      </w:tblPr>
      <w:tblGrid>
        <w:gridCol w:w="4975"/>
        <w:gridCol w:w="4975"/>
      </w:tblGrid>
      <w:tr>
        <w:tc>
          <w:tcPr>
            <w:tcW w:type="dxa" w:w="4975"/>
            <w:vAlign w:val="center"/>
            <w:shd w:fill="17365D"/>
          </w:tcPr>
          <w:p>
            <w:r/>
            <w:r>
              <w:rPr>
                <w:b/>
                <w:color w:val="FFFFFF"/>
                <w:sz w:val="15"/>
              </w:rPr>
              <w:t>Route</w:t>
            </w:r>
          </w:p>
        </w:tc>
        <w:tc>
          <w:tcPr>
            <w:tcW w:type="dxa" w:w="4975"/>
            <w:vAlign w:val="center"/>
            <w:shd w:fill="17365D"/>
          </w:tcPr>
          <w:p>
            <w:r/>
            <w:r>
              <w:rPr>
                <w:b/>
                <w:color w:val="FFFFFF"/>
                <w:sz w:val="15"/>
              </w:rPr>
              <w:t>Purpose</w:t>
            </w:r>
          </w:p>
        </w:tc>
      </w:tr>
      <w:tr>
        <w:tc>
          <w:tcPr>
            <w:tcW w:type="dxa" w:w="4975"/>
            <w:vAlign w:val="center"/>
          </w:tcPr>
          <w:p>
            <w:r/>
            <w:r>
              <w:rPr>
                <w:sz w:val="15"/>
              </w:rPr>
              <w:t>/health — GET</w:t>
            </w:r>
          </w:p>
        </w:tc>
        <w:tc>
          <w:tcPr>
            <w:tcW w:type="dxa" w:w="4975"/>
            <w:vAlign w:val="center"/>
          </w:tcPr>
          <w:p>
            <w:r/>
            <w:r>
              <w:rPr>
                <w:sz w:val="15"/>
              </w:rPr>
              <w:t>Process health; returns {"status":"ok"}.</w:t>
            </w:r>
          </w:p>
        </w:tc>
      </w:tr>
      <w:tr>
        <w:tc>
          <w:tcPr>
            <w:tcW w:type="dxa" w:w="4975"/>
            <w:vAlign w:val="center"/>
            <w:shd w:fill="EEF3F8"/>
          </w:tcPr>
          <w:p>
            <w:r/>
            <w:r>
              <w:rPr>
                <w:sz w:val="15"/>
              </w:rPr>
              <w:t>/predict — POST</w:t>
            </w:r>
          </w:p>
        </w:tc>
        <w:tc>
          <w:tcPr>
            <w:tcW w:type="dxa" w:w="4975"/>
            <w:vAlign w:val="center"/>
            <w:shd w:fill="EEF3F8"/>
          </w:tcPr>
          <w:p>
            <w:r/>
            <w:r>
              <w:rPr>
                <w:sz w:val="15"/>
              </w:rPr>
              <w:t>Validate the feature row and use the fitted model.</w:t>
            </w:r>
          </w:p>
        </w:tc>
      </w:tr>
      <w:tr>
        <w:tc>
          <w:tcPr>
            <w:tcW w:type="dxa" w:w="4975"/>
            <w:vAlign w:val="center"/>
          </w:tcPr>
          <w:p>
            <w:r/>
            <w:r>
              <w:rPr>
                <w:sz w:val="15"/>
              </w:rPr>
              <w:t>/metrics — GET</w:t>
            </w:r>
          </w:p>
        </w:tc>
        <w:tc>
          <w:tcPr>
            <w:tcW w:type="dxa" w:w="4975"/>
            <w:vAlign w:val="center"/>
          </w:tcPr>
          <w:p>
            <w:r/>
            <w:r>
              <w:rPr>
                <w:sz w:val="15"/>
              </w:rPr>
              <w:t>Prometheus-compatible metrics; not shown in Swagger.</w:t>
            </w:r>
          </w:p>
        </w:tc>
      </w:tr>
      <w:tr>
        <w:tc>
          <w:tcPr>
            <w:tcW w:type="dxa" w:w="4975"/>
            <w:vAlign w:val="center"/>
            <w:shd w:fill="EEF3F8"/>
          </w:tcPr>
          <w:p>
            <w:r/>
            <w:r>
              <w:rPr>
                <w:sz w:val="15"/>
              </w:rPr>
              <w:t>/docs — GET</w:t>
            </w:r>
          </w:p>
        </w:tc>
        <w:tc>
          <w:tcPr>
            <w:tcW w:type="dxa" w:w="4975"/>
            <w:vAlign w:val="center"/>
            <w:shd w:fill="EEF3F8"/>
          </w:tcPr>
          <w:p>
            <w:r/>
            <w:r>
              <w:rPr>
                <w:sz w:val="15"/>
              </w:rPr>
              <w:t>Interactive Swagger UI.</w:t>
            </w:r>
          </w:p>
        </w:tc>
      </w:tr>
      <w:tr>
        <w:tc>
          <w:tcPr>
            <w:tcW w:type="dxa" w:w="4975"/>
            <w:vAlign w:val="center"/>
          </w:tcPr>
          <w:p>
            <w:r/>
            <w:r>
              <w:rPr>
                <w:sz w:val="15"/>
              </w:rPr>
              <w:t>/openapi.json — GET</w:t>
            </w:r>
          </w:p>
        </w:tc>
        <w:tc>
          <w:tcPr>
            <w:tcW w:type="dxa" w:w="4975"/>
            <w:vAlign w:val="center"/>
          </w:tcPr>
          <w:p>
            <w:r/>
            <w:r>
              <w:rPr>
                <w:sz w:val="15"/>
              </w:rPr>
              <w:t>Machine-readable API description.</w:t>
            </w:r>
          </w:p>
        </w:tc>
      </w:tr>
    </w:tbl>
    <w:p>
      <w:pPr>
        <w:spacing w:after="0"/>
      </w:pPr>
    </w:p>
    <w:p>
      <w:r>
        <w:t>Feature names/order: age, sex, cp, trestbps, chol, fbs, restecg, thalach, exang, oldpeak, slope, ca, thal. Numeric inputs use JSON numbers; coded categories use strict integers. Null is permitted for missing fields that can be imputed. Extra fields, including target num, are forbidden; category codes are checked.</w:t>
      </w:r>
    </w:p>
    <w:p>
      <w:pPr>
        <w:pStyle w:val="Heading2"/>
      </w:pPr>
      <w:r>
        <w:t>Example valid request</w:t>
      </w:r>
    </w:p>
    <w:p>
      <w:pPr>
        <w:spacing w:after="20"/>
        <w:ind w:left="173"/>
        <w:shd w:fill="F1F4F7"/>
      </w:pPr>
      <w:r>
        <w:rPr>
          <w:rFonts w:ascii="Consolas" w:hAnsi="Consolas"/>
          <w:sz w:val="15"/>
        </w:rPr>
        <w:t>{ "age":63, "sex":1, "cp":1, "trestbps":145, "chol":233, "fbs":1, "restecg":2, "thalach":150, "exang":0, "oldpeak":2.3, "slope":3, "ca":0, "thal":6 }</w:t>
      </w:r>
    </w:p>
    <w:p>
      <w:r>
        <w:t>A live verified response used the saved model and returned selected_model=logistic_regression, predicted_class=0 and predicted_label=absence for this example. It is not a diagnosis; probabilities are not necessarily calibrated.</w:t>
      </w:r>
    </w:p>
    <w:p>
      <w:r>
        <w:br w:type="page"/>
      </w:r>
    </w:p>
    <w:p>
      <w:pPr>
        <w:pStyle w:val="Heading1"/>
      </w:pPr>
      <w:r>
        <w:t>8. Input Validation, Errors and Docker Verification</w:t>
      </w:r>
    </w:p>
    <w:p>
      <w:r>
        <w:t>Pydantic/FastAPI validates required fields and strict JSON types. Missing values, extra fields, invalid feature types and unsupported category codes are rejected with HTTP 422 and an explanatory response. Model unavailable is HTTP 503; inference failure is HTTP 500. Request failures are monitored without logging raw input values.</w:t>
      </w:r>
    </w:p>
    <w:tbl>
      <w:tblPr>
        <w:tblStyle w:val="TableGrid"/>
        <w:tblW w:type="auto" w:w="0"/>
        <w:jc w:val="center"/>
        <w:tblLook w:firstColumn="1" w:firstRow="1" w:lastColumn="0" w:lastRow="0" w:noHBand="0" w:noVBand="1" w:val="04A0"/>
      </w:tblPr>
      <w:tblGrid>
        <w:gridCol w:w="4975"/>
        <w:gridCol w:w="4975"/>
      </w:tblGrid>
      <w:tr>
        <w:tc>
          <w:tcPr>
            <w:tcW w:type="dxa" w:w="4975"/>
            <w:vAlign w:val="center"/>
            <w:shd w:fill="17365D"/>
          </w:tcPr>
          <w:p>
            <w:r/>
            <w:r>
              <w:rPr>
                <w:b/>
                <w:color w:val="FFFFFF"/>
                <w:sz w:val="15"/>
              </w:rPr>
              <w:t>Verification</w:t>
            </w:r>
          </w:p>
        </w:tc>
        <w:tc>
          <w:tcPr>
            <w:tcW w:type="dxa" w:w="4975"/>
            <w:vAlign w:val="center"/>
            <w:shd w:fill="17365D"/>
          </w:tcPr>
          <w:p>
            <w:r/>
            <w:r>
              <w:rPr>
                <w:b/>
                <w:color w:val="FFFFFF"/>
                <w:sz w:val="15"/>
              </w:rPr>
              <w:t>Actual evidence</w:t>
            </w:r>
          </w:p>
        </w:tc>
      </w:tr>
      <w:tr>
        <w:tc>
          <w:tcPr>
            <w:tcW w:type="dxa" w:w="4975"/>
            <w:vAlign w:val="center"/>
          </w:tcPr>
          <w:p>
            <w:r/>
            <w:r>
              <w:rPr>
                <w:sz w:val="15"/>
              </w:rPr>
              <w:t>/health</w:t>
            </w:r>
          </w:p>
        </w:tc>
        <w:tc>
          <w:tcPr>
            <w:tcW w:type="dxa" w:w="4975"/>
            <w:vAlign w:val="center"/>
          </w:tcPr>
          <w:p>
            <w:r/>
            <w:r>
              <w:rPr>
                <w:sz w:val="15"/>
              </w:rPr>
              <w:t>HTTP 200; status ok.</w:t>
            </w:r>
          </w:p>
        </w:tc>
      </w:tr>
      <w:tr>
        <w:tc>
          <w:tcPr>
            <w:tcW w:type="dxa" w:w="4975"/>
            <w:vAlign w:val="center"/>
            <w:shd w:fill="EEF3F8"/>
          </w:tcPr>
          <w:p>
            <w:r/>
            <w:r>
              <w:rPr>
                <w:sz w:val="15"/>
              </w:rPr>
              <w:t>/docs</w:t>
            </w:r>
          </w:p>
        </w:tc>
        <w:tc>
          <w:tcPr>
            <w:tcW w:type="dxa" w:w="4975"/>
            <w:vAlign w:val="center"/>
            <w:shd w:fill="EEF3F8"/>
          </w:tcPr>
          <w:p>
            <w:r/>
            <w:r>
              <w:rPr>
                <w:sz w:val="15"/>
              </w:rPr>
              <w:t>HTTP 200; Swagger page loads.</w:t>
            </w:r>
          </w:p>
        </w:tc>
      </w:tr>
      <w:tr>
        <w:tc>
          <w:tcPr>
            <w:tcW w:type="dxa" w:w="4975"/>
            <w:vAlign w:val="center"/>
          </w:tcPr>
          <w:p>
            <w:r/>
            <w:r>
              <w:rPr>
                <w:sz w:val="15"/>
              </w:rPr>
              <w:t>/metrics</w:t>
            </w:r>
          </w:p>
        </w:tc>
        <w:tc>
          <w:tcPr>
            <w:tcW w:type="dxa" w:w="4975"/>
            <w:vAlign w:val="center"/>
          </w:tcPr>
          <w:p>
            <w:r/>
            <w:r>
              <w:rPr>
                <w:sz w:val="15"/>
              </w:rPr>
              <w:t>HTTP 200; Prometheus exposition.</w:t>
            </w:r>
          </w:p>
        </w:tc>
      </w:tr>
      <w:tr>
        <w:tc>
          <w:tcPr>
            <w:tcW w:type="dxa" w:w="4975"/>
            <w:vAlign w:val="center"/>
            <w:shd w:fill="EEF3F8"/>
          </w:tcPr>
          <w:p>
            <w:r/>
            <w:r>
              <w:rPr>
                <w:sz w:val="15"/>
              </w:rPr>
              <w:t>Valid /predict</w:t>
            </w:r>
          </w:p>
        </w:tc>
        <w:tc>
          <w:tcPr>
            <w:tcW w:type="dxa" w:w="4975"/>
            <w:vAlign w:val="center"/>
            <w:shd w:fill="EEF3F8"/>
          </w:tcPr>
          <w:p>
            <w:r/>
            <w:r>
              <w:rPr>
                <w:sz w:val="15"/>
              </w:rPr>
              <w:t>Live prediction returned from existing saved model.</w:t>
            </w:r>
          </w:p>
        </w:tc>
      </w:tr>
      <w:tr>
        <w:tc>
          <w:tcPr>
            <w:tcW w:type="dxa" w:w="4975"/>
            <w:vAlign w:val="center"/>
          </w:tcPr>
          <w:p>
            <w:r/>
            <w:r>
              <w:rPr>
                <w:sz w:val="15"/>
              </w:rPr>
              <w:t>Invalid category</w:t>
            </w:r>
          </w:p>
        </w:tc>
        <w:tc>
          <w:tcPr>
            <w:tcW w:type="dxa" w:w="4975"/>
            <w:vAlign w:val="center"/>
          </w:tcPr>
          <w:p>
            <w:r/>
            <w:r>
              <w:rPr>
                <w:sz w:val="15"/>
              </w:rPr>
              <w:t>Recorded Docker smoke test returned HTTP 422.</w:t>
            </w:r>
          </w:p>
        </w:tc>
      </w:tr>
      <w:tr>
        <w:tc>
          <w:tcPr>
            <w:tcW w:type="dxa" w:w="4975"/>
            <w:vAlign w:val="center"/>
            <w:shd w:fill="EEF3F8"/>
          </w:tcPr>
          <w:p>
            <w:r/>
            <w:r>
              <w:rPr>
                <w:sz w:val="15"/>
              </w:rPr>
              <w:t>Model lifecycle</w:t>
            </w:r>
          </w:p>
        </w:tc>
        <w:tc>
          <w:tcPr>
            <w:tcW w:type="dxa" w:w="4975"/>
            <w:vAlign w:val="center"/>
            <w:shd w:fill="EEF3F8"/>
          </w:tcPr>
          <w:p>
            <w:r/>
            <w:r>
              <w:rPr>
                <w:sz w:val="15"/>
              </w:rPr>
              <w:t>Loaded saved artifact; no training on API request.</w:t>
            </w:r>
          </w:p>
        </w:tc>
      </w:tr>
    </w:tbl>
    <w:p>
      <w:pPr>
        <w:spacing w:after="0"/>
      </w:pPr>
    </w:p>
    <w:p>
      <w:pPr>
        <w:pStyle w:val="Heading2"/>
      </w:pPr>
      <w:r>
        <w:t>Docker image and runtime</w:t>
      </w:r>
    </w:p>
    <w:p>
      <w:r>
        <w:t>Existing Dockerfile builds heart-disease-mlops:step11 and runs Uvicorn on container port 8000. Recorded container smoke testing used available host port 18001 and verified health, docs, metrics, prediction and invalid-input handling. Kubernetes reuses the existing model image.</w:t>
      </w:r>
    </w:p>
    <w:p>
      <w:pPr>
        <w:spacing w:after="20"/>
        <w:ind w:left="173"/>
        <w:shd w:fill="F1F4F7"/>
      </w:pPr>
      <w:r>
        <w:rPr>
          <w:rFonts w:ascii="Consolas" w:hAnsi="Consolas"/>
          <w:sz w:val="15"/>
        </w:rPr>
        <w:t>kubectl port-forward -n heart-disease service/heart-disease-api 18002:8000</w:t>
      </w:r>
    </w:p>
    <w:p>
      <w:pPr>
        <w:spacing w:after="20"/>
        <w:ind w:left="173"/>
        <w:shd w:fill="F1F4F7"/>
      </w:pPr>
      <w:r>
        <w:rPr>
          <w:rFonts w:ascii="Consolas" w:hAnsi="Consolas"/>
          <w:sz w:val="15"/>
        </w:rPr>
        <w:t>Invoke-RestMethod 'http://127.0.0.1:18002/health'</w:t>
      </w:r>
    </w:p>
    <w:p>
      <w:pPr>
        <w:spacing w:after="20"/>
        <w:ind w:left="173"/>
        <w:shd w:fill="F1F4F7"/>
      </w:pPr>
      <w:r>
        <w:rPr>
          <w:rFonts w:ascii="Consolas" w:hAnsi="Consolas"/>
          <w:sz w:val="15"/>
        </w:rPr>
        <w:t>Invoke-WebRequest -UseBasicParsing 'http://127.0.0.1:18002/docs'</w:t>
      </w:r>
    </w:p>
    <w:p>
      <w:pPr>
        <w:spacing w:after="20"/>
        <w:ind w:left="173"/>
        <w:shd w:fill="F1F4F7"/>
      </w:pPr>
      <w:r>
        <w:rPr>
          <w:rFonts w:ascii="Consolas" w:hAnsi="Consolas"/>
          <w:sz w:val="15"/>
        </w:rPr>
        <w:t>Invoke-WebRequest -UseBasicParsing 'http://127.0.0.1:18002/metrics'</w:t>
      </w:r>
    </w:p>
    <w:p>
      <w:r>
        <w:t>At final verification the API routes /health, /docs, /metrics returned HTTP 200; valid /predict produced a live response.</w:t>
      </w:r>
    </w:p>
    <w:p>
      <w:r>
        <w:br w:type="page"/>
      </w:r>
    </w:p>
    <w:p>
      <w:pPr>
        <w:pStyle w:val="Heading1"/>
      </w:pPr>
      <w:r>
        <w:t>9. Monitoring, Privacy-Safe Logs and Data Quality</w:t>
      </w:r>
    </w:p>
    <w:p>
      <w:r>
        <w:t>Request middleware measures end-to-end latency, counts requests and errors, and emits structured JSON to the container output. Prometheus labels use bounded method/route/status/reason values to avoid high cardinality.</w:t>
      </w:r>
    </w:p>
    <w:tbl>
      <w:tblPr>
        <w:tblStyle w:val="TableGrid"/>
        <w:tblW w:type="auto" w:w="0"/>
        <w:jc w:val="center"/>
        <w:tblLook w:firstColumn="1" w:firstRow="1" w:lastColumn="0" w:lastRow="0" w:noHBand="0" w:noVBand="1" w:val="04A0"/>
      </w:tblPr>
      <w:tblGrid>
        <w:gridCol w:w="4975"/>
        <w:gridCol w:w="4975"/>
      </w:tblGrid>
      <w:tr>
        <w:tc>
          <w:tcPr>
            <w:tcW w:type="dxa" w:w="4975"/>
            <w:vAlign w:val="center"/>
            <w:shd w:fill="17365D"/>
          </w:tcPr>
          <w:p>
            <w:r/>
            <w:r>
              <w:rPr>
                <w:b/>
                <w:color w:val="FFFFFF"/>
                <w:sz w:val="15"/>
              </w:rPr>
              <w:t>Metric</w:t>
            </w:r>
          </w:p>
        </w:tc>
        <w:tc>
          <w:tcPr>
            <w:tcW w:type="dxa" w:w="4975"/>
            <w:vAlign w:val="center"/>
            <w:shd w:fill="17365D"/>
          </w:tcPr>
          <w:p>
            <w:r/>
            <w:r>
              <w:rPr>
                <w:b/>
                <w:color w:val="FFFFFF"/>
                <w:sz w:val="15"/>
              </w:rPr>
              <w:t>Definition</w:t>
            </w:r>
          </w:p>
        </w:tc>
      </w:tr>
      <w:tr>
        <w:tc>
          <w:tcPr>
            <w:tcW w:type="dxa" w:w="4975"/>
            <w:vAlign w:val="center"/>
          </w:tcPr>
          <w:p>
            <w:r/>
            <w:r>
              <w:rPr>
                <w:sz w:val="15"/>
              </w:rPr>
              <w:t>heart_disease_api_requests_total</w:t>
            </w:r>
          </w:p>
        </w:tc>
        <w:tc>
          <w:tcPr>
            <w:tcW w:type="dxa" w:w="4975"/>
            <w:vAlign w:val="center"/>
          </w:tcPr>
          <w:p>
            <w:r/>
            <w:r>
              <w:rPr>
                <w:sz w:val="15"/>
              </w:rPr>
              <w:t>Request counter by method, route, status.</w:t>
            </w:r>
          </w:p>
        </w:tc>
      </w:tr>
      <w:tr>
        <w:tc>
          <w:tcPr>
            <w:tcW w:type="dxa" w:w="4975"/>
            <w:vAlign w:val="center"/>
            <w:shd w:fill="EEF3F8"/>
          </w:tcPr>
          <w:p>
            <w:r/>
            <w:r>
              <w:rPr>
                <w:sz w:val="15"/>
              </w:rPr>
              <w:t>heart_disease_api_request_failures_total</w:t>
            </w:r>
          </w:p>
        </w:tc>
        <w:tc>
          <w:tcPr>
            <w:tcW w:type="dxa" w:w="4975"/>
            <w:vAlign w:val="center"/>
            <w:shd w:fill="EEF3F8"/>
          </w:tcPr>
          <w:p>
            <w:r/>
            <w:r>
              <w:rPr>
                <w:sz w:val="15"/>
              </w:rPr>
              <w:t>Errors by route, status, reason.</w:t>
            </w:r>
          </w:p>
        </w:tc>
      </w:tr>
      <w:tr>
        <w:tc>
          <w:tcPr>
            <w:tcW w:type="dxa" w:w="4975"/>
            <w:vAlign w:val="center"/>
          </w:tcPr>
          <w:p>
            <w:r/>
            <w:r>
              <w:rPr>
                <w:sz w:val="15"/>
              </w:rPr>
              <w:t>heart_disease_api_request_duration_seconds</w:t>
            </w:r>
          </w:p>
        </w:tc>
        <w:tc>
          <w:tcPr>
            <w:tcW w:type="dxa" w:w="4975"/>
            <w:vAlign w:val="center"/>
          </w:tcPr>
          <w:p>
            <w:r/>
            <w:r>
              <w:rPr>
                <w:sz w:val="15"/>
              </w:rPr>
              <w:t>Latency histogram; used for p95.</w:t>
            </w:r>
          </w:p>
        </w:tc>
      </w:tr>
      <w:tr>
        <w:tc>
          <w:tcPr>
            <w:tcW w:type="dxa" w:w="4975"/>
            <w:vAlign w:val="center"/>
            <w:shd w:fill="EEF3F8"/>
          </w:tcPr>
          <w:p>
            <w:r/>
            <w:r>
              <w:rPr>
                <w:sz w:val="15"/>
              </w:rPr>
              <w:t>heart_disease_predictions_succeeded_total</w:t>
            </w:r>
          </w:p>
        </w:tc>
        <w:tc>
          <w:tcPr>
            <w:tcW w:type="dxa" w:w="4975"/>
            <w:vAlign w:val="center"/>
            <w:shd w:fill="EEF3F8"/>
          </w:tcPr>
          <w:p>
            <w:r/>
            <w:r>
              <w:rPr>
                <w:sz w:val="15"/>
              </w:rPr>
              <w:t>Successful prediction count.</w:t>
            </w:r>
          </w:p>
        </w:tc>
      </w:tr>
      <w:tr>
        <w:tc>
          <w:tcPr>
            <w:tcW w:type="dxa" w:w="4975"/>
            <w:vAlign w:val="center"/>
          </w:tcPr>
          <w:p>
            <w:r/>
            <w:r>
              <w:rPr>
                <w:sz w:val="15"/>
              </w:rPr>
              <w:t>heart_disease_input_feature_issues_total</w:t>
            </w:r>
          </w:p>
        </w:tc>
        <w:tc>
          <w:tcPr>
            <w:tcW w:type="dxa" w:w="4975"/>
            <w:vAlign w:val="center"/>
          </w:tcPr>
          <w:p>
            <w:r/>
            <w:r>
              <w:rPr>
                <w:sz w:val="15"/>
              </w:rPr>
              <w:t>Quality issues by feature and issue.</w:t>
            </w:r>
          </w:p>
        </w:tc>
      </w:tr>
    </w:tbl>
    <w:p>
      <w:pPr>
        <w:spacing w:after="0"/>
      </w:pPr>
    </w:p>
    <w:p>
      <w:pPr>
        <w:pStyle w:val="Heading2"/>
      </w:pPr>
      <w:r>
        <w:t>What is included in logs</w:t>
      </w:r>
    </w:p>
    <w:p>
      <w:pPr>
        <w:pStyle w:val="ListBullet"/>
      </w:pPr>
      <w:r>
        <w:t>UTC timestamp, request ID, method, bounded route, status, latency and failure reason when applicable.</w:t>
      </w:r>
    </w:p>
    <w:p>
      <w:pPr>
        <w:pStyle w:val="ListBullet"/>
      </w:pPr>
      <w:r>
        <w:t>Successful response class/label can be logged.</w:t>
      </w:r>
    </w:p>
    <w:p>
      <w:pPr>
        <w:pStyle w:val="ListBullet"/>
      </w:pPr>
      <w:r>
        <w:t>Raw patient feature values and the entire request body are not logged.</w:t>
      </w:r>
    </w:p>
    <w:p>
      <w:pPr>
        <w:pStyle w:val="ListBullet"/>
      </w:pPr>
      <w:r>
        <w:t>Validation errors count issue types without exposing submitted values.</w:t>
      </w:r>
    </w:p>
    <w:p>
      <w:pPr>
        <w:spacing w:after="20"/>
        <w:ind w:left="173"/>
        <w:shd w:fill="F1F4F7"/>
      </w:pPr>
      <w:r>
        <w:rPr>
          <w:rFonts w:ascii="Consolas" w:hAnsi="Consolas"/>
          <w:sz w:val="15"/>
        </w:rPr>
        <w:t>kubectl logs -n heart-disease deployment/heart-disease-api --tail=50</w:t>
      </w:r>
    </w:p>
    <w:p>
      <w:pPr>
        <w:pStyle w:val="Heading2"/>
      </w:pPr>
      <w:r>
        <w:t>Empirical range monitoring</w:t>
      </w:r>
    </w:p>
    <w:tbl>
      <w:tblPr>
        <w:tblStyle w:val="TableGrid"/>
        <w:tblW w:type="auto" w:w="0"/>
        <w:jc w:val="center"/>
        <w:tblLook w:firstColumn="1" w:firstRow="1" w:lastColumn="0" w:lastRow="0" w:noHBand="0" w:noVBand="1" w:val="04A0"/>
      </w:tblPr>
      <w:tblGrid>
        <w:gridCol w:w="3317"/>
        <w:gridCol w:w="3317"/>
        <w:gridCol w:w="3317"/>
      </w:tblGrid>
      <w:tr>
        <w:tc>
          <w:tcPr>
            <w:tcW w:type="dxa" w:w="3317"/>
            <w:vAlign w:val="center"/>
            <w:shd w:fill="17365D"/>
          </w:tcPr>
          <w:p>
            <w:r/>
            <w:r>
              <w:rPr>
                <w:b/>
                <w:color w:val="FFFFFF"/>
                <w:sz w:val="15"/>
              </w:rPr>
              <w:t>Numeric feature</w:t>
            </w:r>
          </w:p>
        </w:tc>
        <w:tc>
          <w:tcPr>
            <w:tcW w:type="dxa" w:w="3317"/>
            <w:vAlign w:val="center"/>
            <w:shd w:fill="17365D"/>
          </w:tcPr>
          <w:p>
            <w:r/>
            <w:r>
              <w:rPr>
                <w:b/>
                <w:color w:val="FFFFFF"/>
                <w:sz w:val="15"/>
              </w:rPr>
              <w:t>Training minimum</w:t>
            </w:r>
          </w:p>
        </w:tc>
        <w:tc>
          <w:tcPr>
            <w:tcW w:type="dxa" w:w="3317"/>
            <w:vAlign w:val="center"/>
            <w:shd w:fill="17365D"/>
          </w:tcPr>
          <w:p>
            <w:r/>
            <w:r>
              <w:rPr>
                <w:b/>
                <w:color w:val="FFFFFF"/>
                <w:sz w:val="15"/>
              </w:rPr>
              <w:t>Training maximum</w:t>
            </w:r>
          </w:p>
        </w:tc>
      </w:tr>
      <w:tr>
        <w:tc>
          <w:tcPr>
            <w:tcW w:type="dxa" w:w="3317"/>
            <w:vAlign w:val="center"/>
          </w:tcPr>
          <w:p>
            <w:r/>
            <w:r>
              <w:rPr>
                <w:sz w:val="15"/>
              </w:rPr>
              <w:t>age</w:t>
            </w:r>
          </w:p>
        </w:tc>
        <w:tc>
          <w:tcPr>
            <w:tcW w:type="dxa" w:w="3317"/>
            <w:vAlign w:val="center"/>
          </w:tcPr>
          <w:p>
            <w:r/>
            <w:r>
              <w:rPr>
                <w:sz w:val="15"/>
              </w:rPr>
              <w:t>29</w:t>
            </w:r>
          </w:p>
        </w:tc>
        <w:tc>
          <w:tcPr>
            <w:tcW w:type="dxa" w:w="3317"/>
            <w:vAlign w:val="center"/>
          </w:tcPr>
          <w:p>
            <w:r/>
            <w:r>
              <w:rPr>
                <w:sz w:val="15"/>
              </w:rPr>
              <w:t>77</w:t>
            </w:r>
          </w:p>
        </w:tc>
      </w:tr>
      <w:tr>
        <w:tc>
          <w:tcPr>
            <w:tcW w:type="dxa" w:w="3317"/>
            <w:vAlign w:val="center"/>
            <w:shd w:fill="EEF3F8"/>
          </w:tcPr>
          <w:p>
            <w:r/>
            <w:r>
              <w:rPr>
                <w:sz w:val="15"/>
              </w:rPr>
              <w:t>trestbps</w:t>
            </w:r>
          </w:p>
        </w:tc>
        <w:tc>
          <w:tcPr>
            <w:tcW w:type="dxa" w:w="3317"/>
            <w:vAlign w:val="center"/>
            <w:shd w:fill="EEF3F8"/>
          </w:tcPr>
          <w:p>
            <w:r/>
            <w:r>
              <w:rPr>
                <w:sz w:val="15"/>
              </w:rPr>
              <w:t>94</w:t>
            </w:r>
          </w:p>
        </w:tc>
        <w:tc>
          <w:tcPr>
            <w:tcW w:type="dxa" w:w="3317"/>
            <w:vAlign w:val="center"/>
            <w:shd w:fill="EEF3F8"/>
          </w:tcPr>
          <w:p>
            <w:r/>
            <w:r>
              <w:rPr>
                <w:sz w:val="15"/>
              </w:rPr>
              <w:t>200</w:t>
            </w:r>
          </w:p>
        </w:tc>
      </w:tr>
      <w:tr>
        <w:tc>
          <w:tcPr>
            <w:tcW w:type="dxa" w:w="3317"/>
            <w:vAlign w:val="center"/>
          </w:tcPr>
          <w:p>
            <w:r/>
            <w:r>
              <w:rPr>
                <w:sz w:val="15"/>
              </w:rPr>
              <w:t>chol</w:t>
            </w:r>
          </w:p>
        </w:tc>
        <w:tc>
          <w:tcPr>
            <w:tcW w:type="dxa" w:w="3317"/>
            <w:vAlign w:val="center"/>
          </w:tcPr>
          <w:p>
            <w:r/>
            <w:r>
              <w:rPr>
                <w:sz w:val="15"/>
              </w:rPr>
              <w:t>126</w:t>
            </w:r>
          </w:p>
        </w:tc>
        <w:tc>
          <w:tcPr>
            <w:tcW w:type="dxa" w:w="3317"/>
            <w:vAlign w:val="center"/>
          </w:tcPr>
          <w:p>
            <w:r/>
            <w:r>
              <w:rPr>
                <w:sz w:val="15"/>
              </w:rPr>
              <w:t>564</w:t>
            </w:r>
          </w:p>
        </w:tc>
      </w:tr>
      <w:tr>
        <w:tc>
          <w:tcPr>
            <w:tcW w:type="dxa" w:w="3317"/>
            <w:vAlign w:val="center"/>
            <w:shd w:fill="EEF3F8"/>
          </w:tcPr>
          <w:p>
            <w:r/>
            <w:r>
              <w:rPr>
                <w:sz w:val="15"/>
              </w:rPr>
              <w:t>thalach</w:t>
            </w:r>
          </w:p>
        </w:tc>
        <w:tc>
          <w:tcPr>
            <w:tcW w:type="dxa" w:w="3317"/>
            <w:vAlign w:val="center"/>
            <w:shd w:fill="EEF3F8"/>
          </w:tcPr>
          <w:p>
            <w:r/>
            <w:r>
              <w:rPr>
                <w:sz w:val="15"/>
              </w:rPr>
              <w:t>71</w:t>
            </w:r>
          </w:p>
        </w:tc>
        <w:tc>
          <w:tcPr>
            <w:tcW w:type="dxa" w:w="3317"/>
            <w:vAlign w:val="center"/>
            <w:shd w:fill="EEF3F8"/>
          </w:tcPr>
          <w:p>
            <w:r/>
            <w:r>
              <w:rPr>
                <w:sz w:val="15"/>
              </w:rPr>
              <w:t>202</w:t>
            </w:r>
          </w:p>
        </w:tc>
      </w:tr>
      <w:tr>
        <w:tc>
          <w:tcPr>
            <w:tcW w:type="dxa" w:w="3317"/>
            <w:vAlign w:val="center"/>
          </w:tcPr>
          <w:p>
            <w:r/>
            <w:r>
              <w:rPr>
                <w:sz w:val="15"/>
              </w:rPr>
              <w:t>oldpeak</w:t>
            </w:r>
          </w:p>
        </w:tc>
        <w:tc>
          <w:tcPr>
            <w:tcW w:type="dxa" w:w="3317"/>
            <w:vAlign w:val="center"/>
          </w:tcPr>
          <w:p>
            <w:r/>
            <w:r>
              <w:rPr>
                <w:sz w:val="15"/>
              </w:rPr>
              <w:t>0.0</w:t>
            </w:r>
          </w:p>
        </w:tc>
        <w:tc>
          <w:tcPr>
            <w:tcW w:type="dxa" w:w="3317"/>
            <w:vAlign w:val="center"/>
          </w:tcPr>
          <w:p>
            <w:r/>
            <w:r>
              <w:rPr>
                <w:sz w:val="15"/>
              </w:rPr>
              <w:t>6.2</w:t>
            </w:r>
          </w:p>
        </w:tc>
      </w:tr>
    </w:tbl>
    <w:p>
      <w:pPr>
        <w:spacing w:after="0"/>
      </w:pPr>
    </w:p>
    <w:p>
      <w:r>
        <w:t>Ranges are measured from the actual 242-row training split. Out-of-range values are counted, not automatically rejected. These boundaries are not medical limits, a drift threshold, or proof of invalidity. Nulls and invalid categories/values are also monitored.</w:t>
      </w:r>
    </w:p>
    <w:p>
      <w:r>
        <w:br w:type="page"/>
      </w:r>
    </w:p>
    <w:p>
      <w:pPr>
        <w:pStyle w:val="Heading1"/>
      </w:pPr>
      <w:r>
        <w:t>10. Prometheus Scrape and Grafana Dashboard</w:t>
      </w:r>
    </w:p>
    <w:p>
      <w:r>
        <w:t>The Kubernetes monitoring manifest configures a 15-second Prometheus scrape of heart-disease-api:8000/metrics. Grafana uses the provisioned Prometheus datasource and dashboard JSON.</w:t>
      </w:r>
    </w:p>
    <w:tbl>
      <w:tblPr>
        <w:tblStyle w:val="TableGrid"/>
        <w:tblW w:type="auto" w:w="0"/>
        <w:jc w:val="center"/>
        <w:tblLook w:firstColumn="1" w:firstRow="1" w:lastColumn="0" w:lastRow="0" w:noHBand="0" w:noVBand="1" w:val="04A0"/>
      </w:tblPr>
      <w:tblGrid>
        <w:gridCol w:w="4975"/>
        <w:gridCol w:w="4975"/>
      </w:tblGrid>
      <w:tr>
        <w:tc>
          <w:tcPr>
            <w:tcW w:type="dxa" w:w="4975"/>
            <w:vAlign w:val="center"/>
            <w:shd w:fill="17365D"/>
          </w:tcPr>
          <w:p>
            <w:r/>
            <w:r>
              <w:rPr>
                <w:b/>
                <w:color w:val="FFFFFF"/>
                <w:sz w:val="15"/>
              </w:rPr>
              <w:t>Grafana panel</w:t>
            </w:r>
          </w:p>
        </w:tc>
        <w:tc>
          <w:tcPr>
            <w:tcW w:type="dxa" w:w="4975"/>
            <w:vAlign w:val="center"/>
            <w:shd w:fill="17365D"/>
          </w:tcPr>
          <w:p>
            <w:r/>
            <w:r>
              <w:rPr>
                <w:b/>
                <w:color w:val="FFFFFF"/>
                <w:sz w:val="15"/>
              </w:rPr>
              <w:t>Measurement</w:t>
            </w:r>
          </w:p>
        </w:tc>
      </w:tr>
      <w:tr>
        <w:tc>
          <w:tcPr>
            <w:tcW w:type="dxa" w:w="4975"/>
            <w:vAlign w:val="center"/>
          </w:tcPr>
          <w:p>
            <w:r/>
            <w:r>
              <w:rPr>
                <w:sz w:val="15"/>
              </w:rPr>
              <w:t>API requests per second</w:t>
            </w:r>
          </w:p>
        </w:tc>
        <w:tc>
          <w:tcPr>
            <w:tcW w:type="dxa" w:w="4975"/>
            <w:vAlign w:val="center"/>
          </w:tcPr>
          <w:p>
            <w:r/>
            <w:r>
              <w:rPr>
                <w:sz w:val="15"/>
              </w:rPr>
              <w:t>Request-counter rate.</w:t>
            </w:r>
          </w:p>
        </w:tc>
      </w:tr>
      <w:tr>
        <w:tc>
          <w:tcPr>
            <w:tcW w:type="dxa" w:w="4975"/>
            <w:vAlign w:val="center"/>
            <w:shd w:fill="EEF3F8"/>
          </w:tcPr>
          <w:p>
            <w:r/>
            <w:r>
              <w:rPr>
                <w:sz w:val="15"/>
              </w:rPr>
              <w:t>HTTP failure ratio</w:t>
            </w:r>
          </w:p>
        </w:tc>
        <w:tc>
          <w:tcPr>
            <w:tcW w:type="dxa" w:w="4975"/>
            <w:vAlign w:val="center"/>
            <w:shd w:fill="EEF3F8"/>
          </w:tcPr>
          <w:p>
            <w:r/>
            <w:r>
              <w:rPr>
                <w:sz w:val="15"/>
              </w:rPr>
              <w:t>Error requests relative to current-process requests.</w:t>
            </w:r>
          </w:p>
        </w:tc>
      </w:tr>
      <w:tr>
        <w:tc>
          <w:tcPr>
            <w:tcW w:type="dxa" w:w="4975"/>
            <w:vAlign w:val="center"/>
          </w:tcPr>
          <w:p>
            <w:r/>
            <w:r>
              <w:rPr>
                <w:sz w:val="15"/>
              </w:rPr>
              <w:t>Request latency p95</w:t>
            </w:r>
          </w:p>
        </w:tc>
        <w:tc>
          <w:tcPr>
            <w:tcW w:type="dxa" w:w="4975"/>
            <w:vAlign w:val="center"/>
          </w:tcPr>
          <w:p>
            <w:r/>
            <w:r>
              <w:rPr>
                <w:sz w:val="15"/>
              </w:rPr>
              <w:t>95th percentile from the request histogram.</w:t>
            </w:r>
          </w:p>
        </w:tc>
      </w:tr>
      <w:tr>
        <w:tc>
          <w:tcPr>
            <w:tcW w:type="dxa" w:w="4975"/>
            <w:vAlign w:val="center"/>
            <w:shd w:fill="EEF3F8"/>
          </w:tcPr>
          <w:p>
            <w:r/>
            <w:r>
              <w:rPr>
                <w:sz w:val="15"/>
              </w:rPr>
              <w:t>Successful predictions</w:t>
            </w:r>
          </w:p>
        </w:tc>
        <w:tc>
          <w:tcPr>
            <w:tcW w:type="dxa" w:w="4975"/>
            <w:vAlign w:val="center"/>
            <w:shd w:fill="EEF3F8"/>
          </w:tcPr>
          <w:p>
            <w:r/>
            <w:r>
              <w:rPr>
                <w:sz w:val="15"/>
              </w:rPr>
              <w:t>Successful prediction counter.</w:t>
            </w:r>
          </w:p>
        </w:tc>
      </w:tr>
    </w:tbl>
    <w:p>
      <w:pPr>
        <w:spacing w:after="0"/>
      </w:pPr>
    </w:p>
    <w:p>
      <w:r>
        <w:t>Live post-recovery evidence: API, Prometheus and Grafana pods were each 1/1 Ready; Prometheus target health=up with no scrape error; Grafana /api/health and Prometheus /-/ready returned HTTP 200. A real valid prediction was sent before checking the success counter.</w:t>
      </w:r>
    </w:p>
    <w:p>
      <w:pPr>
        <w:pStyle w:val="Heading2"/>
      </w:pPr>
      <w:r>
        <w:t>Dashboard: http://127.0.0.1:13000/d/heart-disease-api/heart-disease-api</w:t>
      </w:r>
    </w:p>
    <w:p>
      <w:pPr>
        <w:spacing w:after="0"/>
        <w:jc w:val="center"/>
      </w:pPr>
      <w:r>
        <w:drawing>
          <wp:inline xmlns:a="http://schemas.openxmlformats.org/drawingml/2006/main" xmlns:pic="http://schemas.openxmlformats.org/drawingml/2006/picture">
            <wp:extent cx="5623560" cy="2834640"/>
            <wp:docPr id="11" name="Picture 11"/>
            <wp:cNvGraphicFramePr>
              <a:graphicFrameLocks noChangeAspect="1"/>
            </wp:cNvGraphicFramePr>
            <a:graphic>
              <a:graphicData uri="http://schemas.openxmlformats.org/drawingml/2006/picture">
                <pic:pic>
                  <pic:nvPicPr>
                    <pic:cNvPr id="0" name="grafana-dashboard.png"/>
                    <pic:cNvPicPr/>
                  </pic:nvPicPr>
                  <pic:blipFill>
                    <a:blip r:embed="rId17"/>
                    <a:stretch>
                      <a:fillRect/>
                    </a:stretch>
                  </pic:blipFill>
                  <pic:spPr>
                    <a:xfrm>
                      <a:off x="0" y="0"/>
                      <a:ext cx="5623560" cy="2834640"/>
                    </a:xfrm>
                    <a:prstGeom prst="rect"/>
                  </pic:spPr>
                </pic:pic>
              </a:graphicData>
            </a:graphic>
          </wp:inline>
        </w:drawing>
      </w:r>
    </w:p>
    <w:p>
      <w:pPr>
        <w:pStyle w:val="Caption"/>
        <w:spacing w:after="40"/>
        <w:jc w:val="center"/>
      </w:pPr>
      <w:r>
        <w:t>Figure 11. Saved Grafana Heart Disease API dashboard screenshot.</w:t>
      </w:r>
    </w:p>
    <w:p>
      <w:r>
        <w:t>The Grafana and Prometheus browser interfaces are Kubernetes services, not necessarily ordinary Docker Desktop container-list entries. Their local port-forwards must remain open; automatic startup after Windows restart is not configured.</w:t>
      </w:r>
    </w:p>
    <w:p>
      <w:pPr>
        <w:spacing w:after="20"/>
        <w:ind w:left="173"/>
        <w:shd w:fill="F1F4F7"/>
      </w:pPr>
      <w:r>
        <w:rPr>
          <w:rFonts w:ascii="Consolas" w:hAnsi="Consolas"/>
          <w:sz w:val="15"/>
        </w:rPr>
        <w:t>Prometheus UI: http://127.0.0.1:19090</w:t>
      </w:r>
    </w:p>
    <w:p>
      <w:r>
        <w:br w:type="page"/>
      </w:r>
    </w:p>
    <w:p>
      <w:pPr>
        <w:pStyle w:val="Heading1"/>
      </w:pPr>
      <w:r>
        <w:t>11. Kubernetes Deployment, Tests and Assignment Checklist</w:t>
      </w:r>
    </w:p>
    <w:p>
      <w:r>
        <w:t>k8s/deployment.yaml defines the API Deployment, health probes and resource settings. k8s/service.yaml preserves the rubric-required LoadBalancer type; its address is private to the local cluster. k8s/monitoring.yaml provisions Prometheus and Grafana. Windows host access is via port-forward. Use kubectl, not docker ps, to inspect Kubernetes pods.</w:t>
      </w:r>
    </w:p>
    <w:tbl>
      <w:tblPr>
        <w:tblStyle w:val="TableGrid"/>
        <w:tblW w:type="auto" w:w="0"/>
        <w:jc w:val="center"/>
        <w:tblLook w:firstColumn="1" w:firstRow="1" w:lastColumn="0" w:lastRow="0" w:noHBand="0" w:noVBand="1" w:val="04A0"/>
      </w:tblPr>
      <w:tblGrid>
        <w:gridCol w:w="4975"/>
        <w:gridCol w:w="4975"/>
      </w:tblGrid>
      <w:tr>
        <w:tc>
          <w:tcPr>
            <w:tcW w:type="dxa" w:w="4975"/>
            <w:vAlign w:val="center"/>
            <w:shd w:fill="17365D"/>
          </w:tcPr>
          <w:p>
            <w:r/>
            <w:r>
              <w:rPr>
                <w:b/>
                <w:color w:val="FFFFFF"/>
                <w:sz w:val="15"/>
              </w:rPr>
              <w:t>Requirement</w:t>
            </w:r>
          </w:p>
        </w:tc>
        <w:tc>
          <w:tcPr>
            <w:tcW w:type="dxa" w:w="4975"/>
            <w:vAlign w:val="center"/>
            <w:shd w:fill="17365D"/>
          </w:tcPr>
          <w:p>
            <w:r/>
            <w:r>
              <w:rPr>
                <w:b/>
                <w:color w:val="FFFFFF"/>
                <w:sz w:val="15"/>
              </w:rPr>
              <w:t>Status / evidence</w:t>
            </w:r>
          </w:p>
        </w:tc>
      </w:tr>
      <w:tr>
        <w:tc>
          <w:tcPr>
            <w:tcW w:type="dxa" w:w="4975"/>
            <w:vAlign w:val="center"/>
          </w:tcPr>
          <w:p>
            <w:r/>
            <w:r>
              <w:rPr>
                <w:sz w:val="15"/>
              </w:rPr>
              <w:t>Local Kubernetes API deployment</w:t>
            </w:r>
          </w:p>
        </w:tc>
        <w:tc>
          <w:tcPr>
            <w:tcW w:type="dxa" w:w="4975"/>
            <w:vAlign w:val="center"/>
          </w:tcPr>
          <w:p>
            <w:r/>
            <w:r>
              <w:rPr>
                <w:sz w:val="15"/>
              </w:rPr>
              <w:t>PASS reported; existing step11 image.</w:t>
            </w:r>
          </w:p>
        </w:tc>
      </w:tr>
      <w:tr>
        <w:tc>
          <w:tcPr>
            <w:tcW w:type="dxa" w:w="4975"/>
            <w:vAlign w:val="center"/>
            <w:shd w:fill="EEF3F8"/>
          </w:tcPr>
          <w:p>
            <w:r/>
            <w:r>
              <w:rPr>
                <w:sz w:val="15"/>
              </w:rPr>
              <w:t>Deployment manifest applied</w:t>
            </w:r>
          </w:p>
        </w:tc>
        <w:tc>
          <w:tcPr>
            <w:tcW w:type="dxa" w:w="4975"/>
            <w:vAlign w:val="center"/>
            <w:shd w:fill="EEF3F8"/>
          </w:tcPr>
          <w:p>
            <w:r/>
            <w:r>
              <w:rPr>
                <w:sz w:val="15"/>
              </w:rPr>
              <w:t>PASS reported; k8s/deployment.yaml.</w:t>
            </w:r>
          </w:p>
        </w:tc>
      </w:tr>
      <w:tr>
        <w:tc>
          <w:tcPr>
            <w:tcW w:type="dxa" w:w="4975"/>
            <w:vAlign w:val="center"/>
          </w:tcPr>
          <w:p>
            <w:r/>
            <w:r>
              <w:rPr>
                <w:sz w:val="15"/>
              </w:rPr>
              <w:t>LoadBalancer Service</w:t>
            </w:r>
          </w:p>
        </w:tc>
        <w:tc>
          <w:tcPr>
            <w:tcW w:type="dxa" w:w="4975"/>
            <w:vAlign w:val="center"/>
          </w:tcPr>
          <w:p>
            <w:r/>
            <w:r>
              <w:rPr>
                <w:sz w:val="15"/>
              </w:rPr>
              <w:t>PASS reported; private local address.</w:t>
            </w:r>
          </w:p>
        </w:tc>
      </w:tr>
      <w:tr>
        <w:tc>
          <w:tcPr>
            <w:tcW w:type="dxa" w:w="4975"/>
            <w:vAlign w:val="center"/>
            <w:shd w:fill="EEF3F8"/>
          </w:tcPr>
          <w:p>
            <w:r/>
            <w:r>
              <w:rPr>
                <w:sz w:val="15"/>
              </w:rPr>
              <w:t>health/docs/prediction</w:t>
            </w:r>
          </w:p>
        </w:tc>
        <w:tc>
          <w:tcPr>
            <w:tcW w:type="dxa" w:w="4975"/>
            <w:vAlign w:val="center"/>
            <w:shd w:fill="EEF3F8"/>
          </w:tcPr>
          <w:p>
            <w:r/>
            <w:r>
              <w:rPr>
                <w:sz w:val="15"/>
              </w:rPr>
              <w:t>PASS reported; live API checks passed.</w:t>
            </w:r>
          </w:p>
        </w:tc>
      </w:tr>
      <w:tr>
        <w:tc>
          <w:tcPr>
            <w:tcW w:type="dxa" w:w="4975"/>
            <w:vAlign w:val="center"/>
          </w:tcPr>
          <w:p>
            <w:r/>
            <w:r>
              <w:rPr>
                <w:sz w:val="15"/>
              </w:rPr>
              <w:t>Request logs and metrics</w:t>
            </w:r>
          </w:p>
        </w:tc>
        <w:tc>
          <w:tcPr>
            <w:tcW w:type="dxa" w:w="4975"/>
            <w:vAlign w:val="center"/>
          </w:tcPr>
          <w:p>
            <w:r/>
            <w:r>
              <w:rPr>
                <w:sz w:val="15"/>
              </w:rPr>
              <w:t>PASS; JSON logs and /metrics.</w:t>
            </w:r>
          </w:p>
        </w:tc>
      </w:tr>
      <w:tr>
        <w:tc>
          <w:tcPr>
            <w:tcW w:type="dxa" w:w="4975"/>
            <w:vAlign w:val="center"/>
            <w:shd w:fill="EEF3F8"/>
          </w:tcPr>
          <w:p>
            <w:r/>
            <w:r>
              <w:rPr>
                <w:sz w:val="15"/>
              </w:rPr>
              <w:t>Prometheus and Grafana</w:t>
            </w:r>
          </w:p>
        </w:tc>
        <w:tc>
          <w:tcPr>
            <w:tcW w:type="dxa" w:w="4975"/>
            <w:vAlign w:val="center"/>
            <w:shd w:fill="EEF3F8"/>
          </w:tcPr>
          <w:p>
            <w:r/>
            <w:r>
              <w:rPr>
                <w:sz w:val="15"/>
              </w:rPr>
              <w:t>PASS; target up; live dashboard health.</w:t>
            </w:r>
          </w:p>
        </w:tc>
      </w:tr>
      <w:tr>
        <w:tc>
          <w:tcPr>
            <w:tcW w:type="dxa" w:w="4975"/>
            <w:vAlign w:val="center"/>
          </w:tcPr>
          <w:p>
            <w:r/>
            <w:r>
              <w:rPr>
                <w:sz w:val="15"/>
              </w:rPr>
              <w:t>Screenshots</w:t>
            </w:r>
          </w:p>
        </w:tc>
        <w:tc>
          <w:tcPr>
            <w:tcW w:type="dxa" w:w="4975"/>
            <w:vAlign w:val="center"/>
          </w:tcPr>
          <w:p>
            <w:r/>
            <w:r>
              <w:rPr>
                <w:sz w:val="15"/>
              </w:rPr>
              <w:t>All available PNGs included in this report.</w:t>
            </w:r>
          </w:p>
        </w:tc>
      </w:tr>
      <w:tr>
        <w:tc>
          <w:tcPr>
            <w:tcW w:type="dxa" w:w="4975"/>
            <w:vAlign w:val="center"/>
            <w:shd w:fill="EEF3F8"/>
          </w:tcPr>
          <w:p>
            <w:r/>
            <w:r>
              <w:rPr>
                <w:sz w:val="15"/>
              </w:rPr>
              <w:t>Remote GitHub Actions</w:t>
            </w:r>
          </w:p>
        </w:tc>
        <w:tc>
          <w:tcPr>
            <w:tcW w:type="dxa" w:w="4975"/>
            <w:vAlign w:val="center"/>
            <w:shd w:fill="EEF3F8"/>
          </w:tcPr>
          <w:p>
            <w:r/>
            <w:r>
              <w:rPr>
                <w:sz w:val="15"/>
              </w:rPr>
              <w:t>NOT VERIFIED; no successful remote run evidence.</w:t>
            </w:r>
          </w:p>
        </w:tc>
      </w:tr>
      <w:tr>
        <w:tc>
          <w:tcPr>
            <w:tcW w:type="dxa" w:w="4975"/>
            <w:vAlign w:val="center"/>
          </w:tcPr>
          <w:p>
            <w:r/>
            <w:r>
              <w:rPr>
                <w:sz w:val="15"/>
              </w:rPr>
              <w:t>Live accuracy/drift</w:t>
            </w:r>
          </w:p>
        </w:tc>
        <w:tc>
          <w:tcPr>
            <w:tcW w:type="dxa" w:w="4975"/>
            <w:vAlign w:val="center"/>
          </w:tcPr>
          <w:p>
            <w:r/>
            <w:r>
              <w:rPr>
                <w:sz w:val="15"/>
              </w:rPr>
              <w:t>NOT MEASURED; no production ground truth.</w:t>
            </w:r>
          </w:p>
        </w:tc>
      </w:tr>
      <w:tr>
        <w:tc>
          <w:tcPr>
            <w:tcW w:type="dxa" w:w="4975"/>
            <w:vAlign w:val="center"/>
            <w:shd w:fill="EEF3F8"/>
          </w:tcPr>
          <w:p>
            <w:r/>
            <w:r>
              <w:rPr>
                <w:sz w:val="15"/>
              </w:rPr>
              <w:t>Public cloud/video</w:t>
            </w:r>
          </w:p>
        </w:tc>
        <w:tc>
          <w:tcPr>
            <w:tcW w:type="dxa" w:w="4975"/>
            <w:vAlign w:val="center"/>
            <w:shd w:fill="EEF3F8"/>
          </w:tcPr>
          <w:p>
            <w:r/>
            <w:r>
              <w:rPr>
                <w:sz w:val="15"/>
              </w:rPr>
              <w:t>Not implemented/not found.</w:t>
            </w:r>
          </w:p>
        </w:tc>
      </w:tr>
    </w:tbl>
    <w:p>
      <w:pPr>
        <w:spacing w:after="0"/>
      </w:pPr>
    </w:p>
    <w:p>
      <w:pPr>
        <w:pStyle w:val="Heading2"/>
      </w:pPr>
      <w:r>
        <w:t>Quality checks and limitations</w:t>
      </w:r>
    </w:p>
    <w:p>
      <w:r>
        <w:t>Existing verification records 15 pytest tests passed; Ruff and pip check passed. The GitHub Actions workflow is configured to run Ruff and pytest on pushes and pull requests, but a remote success is not verified. Ground-truth production labels are absent; live accuracy, drift and degradation are not measured. Prometheus/Grafana local storage is ephemeral. The model is not clinically validated. The serialized scikit-learn version differs from the local runtime version, as noted in the existing report.</w:t>
      </w:r>
    </w:p>
    <w:p>
      <w:pPr>
        <w:pStyle w:val="Heading2"/>
      </w:pPr>
      <w:r>
        <w:t>Recovery and diagnostic commands</w:t>
      </w:r>
    </w:p>
    <w:p>
      <w:pPr>
        <w:spacing w:after="20"/>
        <w:ind w:left="173"/>
        <w:shd w:fill="F1F4F7"/>
      </w:pPr>
      <w:r>
        <w:rPr>
          <w:rFonts w:ascii="Consolas" w:hAnsi="Consolas"/>
          <w:sz w:val="15"/>
        </w:rPr>
        <w:t>kubectl config current-context; kubectl get nodes</w:t>
      </w:r>
    </w:p>
    <w:p>
      <w:pPr>
        <w:spacing w:after="20"/>
        <w:ind w:left="173"/>
        <w:shd w:fill="F1F4F7"/>
      </w:pPr>
      <w:r>
        <w:rPr>
          <w:rFonts w:ascii="Consolas" w:hAnsi="Consolas"/>
          <w:sz w:val="15"/>
        </w:rPr>
        <w:t>kubectl get pods,svc -n heart-disease -o wide</w:t>
      </w:r>
    </w:p>
    <w:p>
      <w:pPr>
        <w:spacing w:after="20"/>
        <w:ind w:left="173"/>
        <w:shd w:fill="F1F4F7"/>
      </w:pPr>
      <w:r>
        <w:rPr>
          <w:rFonts w:ascii="Consolas" w:hAnsi="Consolas"/>
          <w:sz w:val="15"/>
        </w:rPr>
        <w:t>kubectl get events -n heart-disease --sort-by=.lastTimestamp</w:t>
      </w:r>
    </w:p>
    <w:p>
      <w:pPr>
        <w:spacing w:after="20"/>
        <w:ind w:left="173"/>
        <w:shd w:fill="F1F4F7"/>
      </w:pPr>
      <w:r>
        <w:rPr>
          <w:rFonts w:ascii="Consolas" w:hAnsi="Consolas"/>
          <w:sz w:val="15"/>
        </w:rPr>
        <w:t>kubectl logs -n heart-disease deployment/heart-disease-api --tail=100</w:t>
      </w:r>
    </w:p>
    <w:p>
      <w:r>
        <w:br w:type="page"/>
      </w:r>
    </w:p>
    <w:p>
      <w:pPr>
        <w:pStyle w:val="Heading1"/>
      </w:pPr>
      <w:r>
        <w:t>12. Screenshot Appendix and PowerShell Access Guide</w:t>
      </w:r>
    </w:p>
    <w:p>
      <w:r>
        <w:t>All 13 PNG files present in screenshots/ and reports/figures/ are embedded in this Word report: three genuine saved UI screenshots and ten actual project-generated EDA/evaluation figures. No images were fabricated.</w:t>
      </w:r>
    </w:p>
    <w:p>
      <w:pPr>
        <w:spacing w:after="0"/>
        <w:jc w:val="center"/>
      </w:pPr>
      <w:r>
        <w:drawing>
          <wp:inline xmlns:a="http://schemas.openxmlformats.org/drawingml/2006/main" xmlns:pic="http://schemas.openxmlformats.org/drawingml/2006/picture">
            <wp:extent cx="2971800" cy="2103120"/>
            <wp:docPr id="12" name="Picture 12"/>
            <wp:cNvGraphicFramePr>
              <a:graphicFrameLocks noChangeAspect="1"/>
            </wp:cNvGraphicFramePr>
            <a:graphic>
              <a:graphicData uri="http://schemas.openxmlformats.org/drawingml/2006/picture">
                <pic:pic>
                  <pic:nvPicPr>
                    <pic:cNvPr id="0" name="api-docs.png"/>
                    <pic:cNvPicPr/>
                  </pic:nvPicPr>
                  <pic:blipFill>
                    <a:blip r:embed="rId18"/>
                    <a:stretch>
                      <a:fillRect/>
                    </a:stretch>
                  </pic:blipFill>
                  <pic:spPr>
                    <a:xfrm>
                      <a:off x="0" y="0"/>
                      <a:ext cx="2971800" cy="2103120"/>
                    </a:xfrm>
                    <a:prstGeom prst="rect"/>
                  </pic:spPr>
                </pic:pic>
              </a:graphicData>
            </a:graphic>
          </wp:inline>
        </w:drawing>
      </w:r>
    </w:p>
    <w:p>
      <w:pPr>
        <w:pStyle w:val="Caption"/>
        <w:spacing w:after="40"/>
        <w:jc w:val="center"/>
      </w:pPr>
      <w:r>
        <w:t>Figure 12. Existing screenshot of the FastAPI Swagger UI.</w:t>
      </w:r>
    </w:p>
    <w:p>
      <w:pPr>
        <w:spacing w:after="0"/>
        <w:jc w:val="center"/>
      </w:pPr>
      <w:r>
        <w:drawing>
          <wp:inline xmlns:a="http://schemas.openxmlformats.org/drawingml/2006/main" xmlns:pic="http://schemas.openxmlformats.org/drawingml/2006/picture">
            <wp:extent cx="3154680" cy="1737360"/>
            <wp:docPr id="13" name="Picture 13"/>
            <wp:cNvGraphicFramePr>
              <a:graphicFrameLocks noChangeAspect="1"/>
            </wp:cNvGraphicFramePr>
            <a:graphic>
              <a:graphicData uri="http://schemas.openxmlformats.org/drawingml/2006/picture">
                <pic:pic>
                  <pic:nvPicPr>
                    <pic:cNvPr id="0" name="health.png"/>
                    <pic:cNvPicPr/>
                  </pic:nvPicPr>
                  <pic:blipFill>
                    <a:blip r:embed="rId19"/>
                    <a:stretch>
                      <a:fillRect/>
                    </a:stretch>
                  </pic:blipFill>
                  <pic:spPr>
                    <a:xfrm>
                      <a:off x="0" y="0"/>
                      <a:ext cx="3154680" cy="1737360"/>
                    </a:xfrm>
                    <a:prstGeom prst="rect"/>
                  </pic:spPr>
                </pic:pic>
              </a:graphicData>
            </a:graphic>
          </wp:inline>
        </w:drawing>
      </w:r>
    </w:p>
    <w:p>
      <w:pPr>
        <w:pStyle w:val="Caption"/>
        <w:spacing w:after="40"/>
        <w:jc w:val="center"/>
      </w:pPr>
      <w:r>
        <w:t>Figure 13. Existing screenshot of the API health endpoint.</w:t>
      </w:r>
    </w:p>
    <w:p>
      <w:pPr>
        <w:pStyle w:val="Heading2"/>
      </w:pPr>
      <w:r>
        <w:t>Exact PowerShell project location</w:t>
      </w:r>
    </w:p>
    <w:p>
      <w:pPr>
        <w:spacing w:after="20"/>
        <w:ind w:left="173"/>
        <w:shd w:fill="F1F4F7"/>
      </w:pPr>
      <w:r>
        <w:rPr>
          <w:rFonts w:ascii="Consolas" w:hAnsi="Consolas"/>
          <w:sz w:val="15"/>
        </w:rPr>
        <w:t>Set-Location 'C:\Users\hemak\Documents\koushikaa-2025ae05628\2025ae05628_mlos\heart-disease-mlops'</w:t>
      </w:r>
    </w:p>
    <w:p>
      <w:pPr>
        <w:pStyle w:val="Heading2"/>
      </w:pPr>
      <w:r>
        <w:t>Start local forwards in separate terminals</w:t>
      </w:r>
    </w:p>
    <w:p>
      <w:pPr>
        <w:spacing w:after="20"/>
        <w:ind w:left="173"/>
        <w:shd w:fill="F1F4F7"/>
      </w:pPr>
      <w:r>
        <w:rPr>
          <w:rFonts w:ascii="Consolas" w:hAnsi="Consolas"/>
          <w:sz w:val="15"/>
        </w:rPr>
        <w:t>kubectl port-forward -n heart-disease service/heart-disease-api 18002:8000</w:t>
      </w:r>
    </w:p>
    <w:p>
      <w:pPr>
        <w:spacing w:after="20"/>
        <w:ind w:left="173"/>
        <w:shd w:fill="F1F4F7"/>
      </w:pPr>
      <w:r>
        <w:rPr>
          <w:rFonts w:ascii="Consolas" w:hAnsi="Consolas"/>
          <w:sz w:val="15"/>
        </w:rPr>
        <w:t>kubectl port-forward -n heart-disease service/grafana 13000:3000</w:t>
      </w:r>
    </w:p>
    <w:p>
      <w:pPr>
        <w:spacing w:after="20"/>
        <w:ind w:left="173"/>
        <w:shd w:fill="F1F4F7"/>
      </w:pPr>
      <w:r>
        <w:rPr>
          <w:rFonts w:ascii="Consolas" w:hAnsi="Consolas"/>
          <w:sz w:val="15"/>
        </w:rPr>
        <w:t>kubectl port-forward -n heart-disease service/prometheus 19090:9090</w:t>
      </w:r>
    </w:p>
    <w:p>
      <w:r>
        <w:t>If a port is already in use, the forward may already be running; test the URL before starting a second copy. A Docker Desktop restart requires Kubernetes to become Ready again and port-forwards to be restarted.</w:t>
      </w:r>
    </w:p>
    <w:p>
      <w:r>
        <w:t xml:space="preserve">GitHub repository: </w:t>
      </w:r>
      <w:hyperlink r:id="rId20">
        <w:r>
          <w:rPr>
            <w:color w:val="0563C1"/>
            <w:u w:val="single"/>
          </w:rPr>
          <w:t>https://github.com/2025ae05628-koushi/2025ae05628_mlos</w:t>
        </w:r>
      </w:hyperlink>
    </w:p>
    <w:p>
      <w:r>
        <w:t>If the instructor requires separate Kubernetes node/Pods/Service screenshots or a successful prediction screenshot, capture them from the live deployment and append them. Those additional views were not among the saved image files available for this report.</w:t>
      </w:r>
    </w:p>
    <w:sectPr w:rsidR="00FC693F" w:rsidRPr="0006063C" w:rsidSect="00034616">
      <w:headerReference w:type="default" r:id="rId9"/>
      <w:footerReference w:type="default" r:id="rId10"/>
      <w:pgSz w:w="11909" w:h="16834"/>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KOUSHIKAA K C • 2025AE05628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HEART DISEASE PREDICTION  |  MLOPS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B37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00" w:after="60"/>
    </w:pPr>
    <w:rPr>
      <w:rFonts w:asciiTheme="majorHAnsi" w:eastAsiaTheme="majorEastAsia" w:hAnsiTheme="majorHAnsi" w:cstheme="majorBidi" w:ascii="Aptos Display" w:hAnsi="Aptos Display"/>
      <w:b/>
      <w:i/>
      <w:iCs/>
      <w:color w:val="087E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github.com/2025ae05628-koushi/2025ae05628_ml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Prediction MLOps Assignment Report</dc:title>
  <dc:subject>Detailed assignment: model pipeline, APIs, Kubernetes, Prometheus, Grafana</dc:subject>
  <dc:creator>KOUSHIKAA K C</dc:creator>
  <cp:keywords>MLOps, Heart Disease, 2025AE05628, FastAPI, Kubernetes, Grafana</cp:keywords>
  <dc:description>generated by python-docx</dc:description>
  <cp:lastModifiedBy/>
  <cp:revision>1</cp:revision>
  <dcterms:created xsi:type="dcterms:W3CDTF">2013-12-23T23:15:00Z</dcterms:created>
  <dcterms:modified xsi:type="dcterms:W3CDTF">2013-12-23T23:15:00Z</dcterms:modified>
  <cp:category/>
</cp:coreProperties>
</file>