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color w:val="4B5563"/>
          <w:sz w:val="26"/>
          <w:szCs w:val="26"/>
        </w:rPr>
        <w:t xml:space="preserve">Machine Learning Operations (AIMLCZG523)</w:t>
      </w:r>
    </w:p>
    <w:p>
      <w:pPr>
        <w:spacing w:before="120"/>
        <w:jc w:val="center"/>
      </w:pPr>
      <w:r>
        <w:rPr>
          <w:color w:val="4B5563"/>
          <w:sz w:val="26"/>
          <w:szCs w:val="26"/>
        </w:rPr>
        <w:t xml:space="preserve">Assignment 01</w:t>
      </w:r>
    </w:p>
    <w:p>
      <w:pPr>
        <w:spacing w:after="200" w:before="600"/>
        <w:jc w:val="center"/>
      </w:pPr>
      <w:r>
        <w:rPr>
          <w:b/>
          <w:bCs/>
          <w:color w:val="1E3A5F"/>
          <w:sz w:val="44"/>
          <w:szCs w:val="44"/>
        </w:rPr>
        <w:t xml:space="preserve">Heart Disease Risk Prediction:</w:t>
      </w:r>
    </w:p>
    <w:p>
      <w:pPr>
        <w:spacing w:after="600"/>
        <w:jc w:val="center"/>
      </w:pPr>
      <w:r>
        <w:rPr>
          <w:color w:val="1E3A5F"/>
          <w:sz w:val="30"/>
          <w:szCs w:val="30"/>
        </w:rPr>
        <w:t xml:space="preserve">An End-to-End MLOps Pipeline from Data to Monitored Kubernetes API</w:t>
      </w:r>
    </w:p>
    <w:p>
      <w:pPr>
        <w:pBdr>
          <w:top w:val="single" w:color="1E3A5F" w:sz="6" w:space="12"/>
        </w:pBdr>
        <w:spacing w:after="120" w:before="200"/>
        <w:jc w:val="center"/>
      </w:pPr>
      <w:r>
        <w:rPr>
          <w:sz w:val="24"/>
          <w:szCs w:val="24"/>
        </w:rPr>
        <w:t xml:space="preserve">Student: [Your Name]</w:t>
      </w:r>
    </w:p>
    <w:p>
      <w:pPr>
        <w:spacing w:after="120"/>
        <w:jc w:val="center"/>
      </w:pPr>
      <w:r>
        <w:rPr>
          <w:sz w:val="24"/>
          <w:szCs w:val="24"/>
        </w:rPr>
        <w:t xml:space="preserve">BITS ID: [Your ID]</w:t>
      </w:r>
    </w:p>
    <w:p>
      <w:pPr>
        <w:spacing w:after="120"/>
        <w:jc w:val="center"/>
      </w:pPr>
      <w:r>
        <w:rPr>
          <w:color w:val="1D4ED8"/>
          <w:sz w:val="22"/>
          <w:szCs w:val="22"/>
        </w:rPr>
        <w:t xml:space="preserve">Code repository: https://github.com/&lt;your-username&gt;/heart-risk-mlops</w:t>
      </w:r>
    </w:p>
    <w:p>
      <w:pPr>
        <w:spacing w:after="120"/>
        <w:jc w:val="center"/>
      </w:pPr>
      <w:r>
        <w:rPr>
          <w:color w:val="1D4ED8"/>
          <w:sz w:val="22"/>
          <w:szCs w:val="22"/>
        </w:rPr>
        <w:t xml:space="preserve">Pipeline video: [link]</w:t>
      </w:r>
    </w:p>
    <w:p>
      <w:pPr>
        <w:spacing w:before="1200"/>
        <w:jc w:val="center"/>
      </w:pPr>
      <w:r>
        <w:rPr>
          <w:color w:val="4B5563"/>
          <w:sz w:val="22"/>
          <w:szCs w:val="22"/>
        </w:rPr>
        <w:t xml:space="preserve">October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line="276"/>
        <w:jc w:val="both"/>
      </w:pPr>
      <w:r>
        <w:t xml:space="preserve">The goal is to predict whether a patient has heart disease from 13 routinely collected clinical attributes, and to deliver that model as a reproducible, tested, containerised and monitored web service. The project covers the full lifecycle: data acquisition, exploratory analysis, feature engineering, model selection with experiment tracking, packaging, CI/CD, Docker, Kubernetes deployment and monitoring.</w:t>
      </w:r>
    </w:p>
    <w:p>
      <w:pPr>
        <w:spacing w:after="120" w:line="276"/>
        <w:jc w:val="both"/>
      </w:pPr>
      <w:r>
        <w:rPr>
          <w:b/>
          <w:bCs/>
        </w:rPr>
        <w:t xml:space="preserve">Headline result: </w:t>
      </w:r>
      <w:r>
        <w:t xml:space="preserve">an L2-regularised Logistic Regression reaches a 5-fold cross-validated ROC-AUC of 0.908 (± 0.037) and, on a held-out 20% test set, ROC-AUC 0.922, accuracy 0.852, precision 0.880 and recall 0.786. It is served by a FastAPI application exposing </w:t>
      </w:r>
      <w:r>
        <w:rPr>
          <w:rFonts w:ascii="Consolas" w:cs="Consolas" w:eastAsia="Consolas" w:hAnsi="Consolas"/>
          <w:sz w:val="19"/>
          <w:szCs w:val="19"/>
        </w:rPr>
        <w:t xml:space="preserve">/predict</w:t>
      </w:r>
      <w:r>
        <w:t xml:space="preserve">, deployed to Minikube behind a LoadBalancer and an Ingress, and scraped by Prometheus with a Grafana dashboard.</w:t>
      </w:r>
    </w:p>
    <w:p>
      <w:pPr>
        <w:pStyle w:val="Heading2"/>
      </w:pPr>
      <w:r>
        <w:t xml:space="preserve">1.1 Architecture</w:t>
      </w:r>
    </w:p>
    <w:p>
      <w:pPr>
        <w:spacing w:after="40" w:before="80"/>
        <w:jc w:val="center"/>
      </w:pPr>
      <w:r>
        <w:drawing>
          <wp:inline distT="0" distB="0" distL="0" distR="0">
            <wp:extent cx="6038850" cy="3352800"/>
            <wp:effectExtent t="0" r="0" b="0" l="0"/>
            <wp:docPr id="1" name="architecture.png" descr="Figure 1. System architecture: experimentation, CI/CD and serving/monitoring layers." title="Figure 1. System architecture: experimentation, CI/CD and serving/monitoring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3352800"/>
                    </a:xfrm>
                    <a:prstGeom prst="rect">
                      <a:avLst/>
                    </a:prstGeom>
                  </pic:spPr>
                </pic:pic>
              </a:graphicData>
            </a:graphic>
          </wp:inline>
        </w:drawing>
      </w:r>
    </w:p>
    <w:p>
      <w:pPr>
        <w:spacing w:after="160"/>
        <w:jc w:val="center"/>
      </w:pPr>
      <w:r>
        <w:rPr>
          <w:i/>
          <w:iCs/>
          <w:color w:val="4B5563"/>
          <w:sz w:val="18"/>
          <w:szCs w:val="18"/>
        </w:rPr>
        <w:t xml:space="preserve">Figure 1. System architecture: experimentation, CI/CD and serving/monitoring layers.</w:t>
      </w:r>
    </w:p>
    <w:p>
      <w:pPr>
        <w:spacing w:after="120" w:line="276"/>
        <w:jc w:val="both"/>
      </w:pPr>
      <w:r>
        <w:t xml:space="preserve">Three layers share one code base (</w:t>
      </w:r>
      <w:r>
        <w:rPr>
          <w:rFonts w:ascii="Consolas" w:cs="Consolas" w:eastAsia="Consolas" w:hAnsi="Consolas"/>
          <w:sz w:val="19"/>
          <w:szCs w:val="19"/>
        </w:rPr>
        <w:t xml:space="preserve">src/heart</w:t>
      </w:r>
      <w:r>
        <w:t xml:space="preserve">). The experimentation layer produces a cleaned dataset, EDA figures and an MLflow-tracked model. The CI/CD layer re-runs lint, tests and training on every push, applies a quality gate and builds a Docker image. The serving layer runs that image on Kubernetes, with Prometheus discovering every API pod and Grafana visualising service and model metrics.</w:t>
      </w:r>
    </w:p>
    <w:p>
      <w:pPr>
        <w:pStyle w:val="Heading1"/>
      </w:pPr>
      <w:r>
        <w:t xml:space="preserve">2. Setup and Installation</w:t>
      </w:r>
    </w:p>
    <w:p>
      <w:pPr>
        <w:spacing w:after="120" w:line="276"/>
        <w:jc w:val="both"/>
      </w:pPr>
      <w:r>
        <w:t xml:space="preserve">All steps run from a clean Python 3.13 environment; the same version is used locally, in CI and in the Docker image.</w:t>
      </w:r>
    </w:p>
    <w:p>
      <w:pPr>
        <w:shd w:fill="F3F4F6" w:color="auto" w:val="clear"/>
        <w:spacing w:after="0" w:before="60" w:line="240"/>
        <w:ind w:left="140" w:right="140"/>
      </w:pPr>
      <w:r>
        <w:rPr>
          <w:rFonts w:ascii="Consolas" w:cs="Consolas" w:eastAsia="Consolas" w:hAnsi="Consolas"/>
          <w:color w:val="1F2937"/>
          <w:sz w:val="17"/>
          <w:szCs w:val="17"/>
        </w:rPr>
        <w:t xml:space="preserve">git clone https://github.com/&lt;your-username&gt;/heart-risk-mlops &amp;&amp; cd heart-risk-mlops</w:t>
      </w:r>
    </w:p>
    <w:p>
      <w:pPr>
        <w:shd w:fill="F3F4F6" w:color="auto" w:val="clear"/>
        <w:spacing w:after="0" w:before="0" w:line="240"/>
        <w:ind w:left="140" w:right="140"/>
      </w:pPr>
      <w:r>
        <w:rPr>
          <w:rFonts w:ascii="Consolas" w:cs="Consolas" w:eastAsia="Consolas" w:hAnsi="Consolas"/>
          <w:color w:val="1F2937"/>
          <w:sz w:val="17"/>
          <w:szCs w:val="17"/>
        </w:rPr>
        <w:t xml:space="preserve">python -m venv .venv &amp;&amp; source .venv/bin/activate</w:t>
      </w:r>
    </w:p>
    <w:p>
      <w:pPr>
        <w:shd w:fill="F3F4F6" w:color="auto" w:val="clear"/>
        <w:spacing w:after="0" w:before="0" w:line="240"/>
        <w:ind w:left="140" w:right="140"/>
      </w:pPr>
      <w:r>
        <w:rPr>
          <w:rFonts w:ascii="Consolas" w:cs="Consolas" w:eastAsia="Consolas" w:hAnsi="Consolas"/>
          <w:color w:val="1F2937"/>
          <w:sz w:val="17"/>
          <w:szCs w:val="17"/>
        </w:rPr>
        <w:t xml:space="preserve">pip install -r requirements.txt &amp;&amp; pip install -e .</w:t>
      </w:r>
    </w:p>
    <w:p>
      <w:pPr>
        <w:shd w:fill="F3F4F6" w:color="auto" w:val="clear"/>
        <w:spacing w:after="0" w:before="0" w:line="240"/>
        <w:ind w:left="140" w:right="140"/>
      </w:pPr>
      <w:r>
        <w:rPr>
          <w:rFonts w:ascii="Consolas" w:cs="Consolas" w:eastAsia="Consolas" w:hAnsi="Consolas"/>
          <w:color w:val="1F2937"/>
          <w:sz w:val="17"/>
          <w:szCs w:val="17"/>
        </w:rPr>
        <w:t xml:space="preserve"> </w:t>
      </w:r>
    </w:p>
    <w:p>
      <w:pPr>
        <w:shd w:fill="F3F4F6" w:color="auto" w:val="clear"/>
        <w:spacing w:after="0" w:before="0" w:line="240"/>
        <w:ind w:left="140" w:right="140"/>
      </w:pPr>
      <w:r>
        <w:rPr>
          <w:rFonts w:ascii="Consolas" w:cs="Consolas" w:eastAsia="Consolas" w:hAnsi="Consolas"/>
          <w:color w:val="1F2937"/>
          <w:sz w:val="17"/>
          <w:szCs w:val="17"/>
        </w:rPr>
        <w:t xml:space="preserve">python -m heart.data      # download + clean            -&gt; data/processed/heart_clean.csv</w:t>
      </w:r>
    </w:p>
    <w:p>
      <w:pPr>
        <w:shd w:fill="F3F4F6" w:color="auto" w:val="clear"/>
        <w:spacing w:after="0" w:before="0" w:line="240"/>
        <w:ind w:left="140" w:right="140"/>
      </w:pPr>
      <w:r>
        <w:rPr>
          <w:rFonts w:ascii="Consolas" w:cs="Consolas" w:eastAsia="Consolas" w:hAnsi="Consolas"/>
          <w:color w:val="1F2937"/>
          <w:sz w:val="17"/>
          <w:szCs w:val="17"/>
        </w:rPr>
        <w:t xml:space="preserve">python -m heart.eda       # EDA figures                 -&gt; reports/figures/</w:t>
      </w:r>
    </w:p>
    <w:p>
      <w:pPr>
        <w:shd w:fill="F3F4F6" w:color="auto" w:val="clear"/>
        <w:spacing w:after="0" w:before="0" w:line="240"/>
        <w:ind w:left="140" w:right="140"/>
      </w:pPr>
      <w:r>
        <w:rPr>
          <w:rFonts w:ascii="Consolas" w:cs="Consolas" w:eastAsia="Consolas" w:hAnsi="Consolas"/>
          <w:color w:val="1F2937"/>
          <w:sz w:val="17"/>
          <w:szCs w:val="17"/>
        </w:rPr>
        <w:t xml:space="preserve">python -m heart.train     # tune 5 models, log to MLflow -&gt; models/model.joblib</w:t>
      </w:r>
    </w:p>
    <w:p>
      <w:pPr>
        <w:shd w:fill="F3F4F6" w:color="auto" w:val="clear"/>
        <w:spacing w:after="0" w:before="0" w:line="240"/>
        <w:ind w:left="140" w:right="140"/>
      </w:pPr>
      <w:r>
        <w:rPr>
          <w:rFonts w:ascii="Consolas" w:cs="Consolas" w:eastAsia="Consolas" w:hAnsi="Consolas"/>
          <w:color w:val="1F2937"/>
          <w:sz w:val="17"/>
          <w:szCs w:val="17"/>
        </w:rPr>
        <w:t xml:space="preserve">pytest -v &amp;&amp; flake8 src api tests</w:t>
      </w:r>
    </w:p>
    <w:p>
      <w:pPr>
        <w:shd w:fill="F3F4F6" w:color="auto" w:val="clear"/>
        <w:spacing w:after="0" w:before="0" w:line="240"/>
        <w:ind w:left="140" w:right="140"/>
      </w:pPr>
      <w:r>
        <w:rPr>
          <w:rFonts w:ascii="Consolas" w:cs="Consolas" w:eastAsia="Consolas" w:hAnsi="Consolas"/>
          <w:color w:val="1F2937"/>
          <w:sz w:val="17"/>
          <w:szCs w:val="17"/>
        </w:rPr>
        <w:t xml:space="preserve">mlflow ui --backend-store-uri sqlite:///mlflow.db --port 5000</w:t>
      </w:r>
    </w:p>
    <w:p>
      <w:pPr>
        <w:shd w:fill="F3F4F6" w:color="auto" w:val="clear"/>
        <w:spacing w:after="140" w:before="0" w:line="240"/>
        <w:ind w:left="140" w:right="140"/>
      </w:pPr>
      <w:r>
        <w:rPr>
          <w:rFonts w:ascii="Consolas" w:cs="Consolas" w:eastAsia="Consolas" w:hAnsi="Consolas"/>
          <w:color w:val="1F2937"/>
          <w:sz w:val="17"/>
          <w:szCs w:val="17"/>
        </w:rPr>
        <w:t xml:space="preserve">uvicorn api.app:app --port 8000          # http://localhost:8000/docs</w:t>
      </w:r>
    </w:p>
    <w:p>
      <w:pPr>
        <w:spacing w:after="120" w:line="276"/>
        <w:jc w:val="both"/>
      </w:pPr>
      <w:r>
        <w:t xml:space="preserve">A </w:t>
      </w:r>
      <w:r>
        <w:rPr>
          <w:rFonts w:ascii="Consolas" w:cs="Consolas" w:eastAsia="Consolas" w:hAnsi="Consolas"/>
          <w:sz w:val="19"/>
          <w:szCs w:val="19"/>
        </w:rPr>
        <w:t xml:space="preserve">Makefile</w:t>
      </w:r>
      <w:r>
        <w:t xml:space="preserve"> wraps the same commands (</w:t>
      </w:r>
      <w:r>
        <w:rPr>
          <w:rFonts w:ascii="Consolas" w:cs="Consolas" w:eastAsia="Consolas" w:hAnsi="Consolas"/>
          <w:sz w:val="19"/>
          <w:szCs w:val="19"/>
        </w:rPr>
        <w:t xml:space="preserve">make setup data train test serve</w:t>
      </w:r>
      <w:r>
        <w:t xml:space="preserve">), and </w:t>
      </w:r>
      <w:r>
        <w:rPr>
          <w:rFonts w:ascii="Consolas" w:cs="Consolas" w:eastAsia="Consolas" w:hAnsi="Consolas"/>
          <w:sz w:val="19"/>
          <w:szCs w:val="19"/>
        </w:rPr>
        <w:t xml:space="preserve">environment.yml</w:t>
      </w:r>
      <w:r>
        <w:t xml:space="preserve"> provides a Conda alternative. Two requirement files are kept: </w:t>
      </w:r>
      <w:r>
        <w:rPr>
          <w:rFonts w:ascii="Consolas" w:cs="Consolas" w:eastAsia="Consolas" w:hAnsi="Consolas"/>
          <w:sz w:val="19"/>
          <w:szCs w:val="19"/>
        </w:rPr>
        <w:t xml:space="preserve">requirements.txt</w:t>
      </w:r>
      <w:r>
        <w:t xml:space="preserve"> (everything, pinned) and </w:t>
      </w:r>
      <w:r>
        <w:rPr>
          <w:rFonts w:ascii="Consolas" w:cs="Consolas" w:eastAsia="Consolas" w:hAnsi="Consolas"/>
          <w:sz w:val="19"/>
          <w:szCs w:val="19"/>
        </w:rPr>
        <w:t xml:space="preserve">requirements-serve.txt</w:t>
      </w:r>
      <w:r>
        <w:t xml:space="preserve"> (runtime only, used by the Docker image), with identical pins for scikit-learn and XGBoost so the pickled pipeline loads exactly as trained.</w:t>
      </w:r>
    </w:p>
    <w:p>
      <w:pPr>
        <w:pStyle w:val="Heading1"/>
      </w:pPr>
      <w:r>
        <w:t xml:space="preserve">3. Data Acquisition and Exploratory Analysis</w:t>
      </w:r>
    </w:p>
    <w:p>
      <w:pPr>
        <w:pStyle w:val="Heading2"/>
      </w:pPr>
      <w:r>
        <w:t xml:space="preserve">3.1 Acquisition</w:t>
      </w:r>
    </w:p>
    <w:p>
      <w:pPr>
        <w:spacing w:after="120" w:line="276"/>
        <w:jc w:val="both"/>
      </w:pPr>
      <w:r>
        <w:t xml:space="preserve">The Cleveland subset of the UCI Heart Disease dataset (303 patients) is downloaded by </w:t>
      </w:r>
      <w:r>
        <w:rPr>
          <w:rFonts w:ascii="Consolas" w:cs="Consolas" w:eastAsia="Consolas" w:hAnsi="Consolas"/>
          <w:sz w:val="19"/>
          <w:szCs w:val="19"/>
        </w:rPr>
        <w:t xml:space="preserve">heart.data.download()</w:t>
      </w:r>
      <w:r>
        <w:t xml:space="preserve">. It requests </w:t>
      </w:r>
      <w:r>
        <w:rPr>
          <w:rFonts w:ascii="Consolas" w:cs="Consolas" w:eastAsia="Consolas" w:hAnsi="Consolas"/>
          <w:sz w:val="19"/>
          <w:szCs w:val="19"/>
        </w:rPr>
        <w:t xml:space="preserve">processed.cleveland.data</w:t>
      </w:r>
      <w:r>
        <w:t xml:space="preserve"> from the UCI repository; if that fails (UCI outages are common, and some networks block it), it falls back to a widely used GitHub copy of the same records. That copy uses a different coding (0-based categories, inverted target), so the script maps it back to the original UCI coding. A unit test pins the mapping against the first record of the original file so both sources yield an identical schema.</w:t>
      </w:r>
    </w:p>
    <w:p>
      <w:pPr>
        <w:pStyle w:val="Heading2"/>
      </w:pPr>
      <w:r>
        <w:t xml:space="preserve">3.2 Cleaning</w:t>
      </w:r>
    </w:p>
    <w:p>
      <w:pPr>
        <w:pStyle w:val="ListParagraph"/>
        <w:numPr>
          <w:ilvl w:val="0"/>
          <w:numId w:val="2"/>
        </w:numPr>
        <w:spacing w:after="60" w:line="264"/>
      </w:pPr>
      <w:r>
        <w:t xml:space="preserve">The 0-4 diagnosis </w:t>
      </w:r>
      <w:r>
        <w:rPr>
          <w:rFonts w:ascii="Consolas" w:cs="Consolas" w:eastAsia="Consolas" w:hAnsi="Consolas"/>
          <w:sz w:val="19"/>
          <w:szCs w:val="19"/>
        </w:rPr>
        <w:t xml:space="preserve">num</w:t>
      </w:r>
      <w:r>
        <w:t xml:space="preserve"> is binarised: 0 = no disease, 1-4 = disease (164 vs 138 patients).</w:t>
      </w:r>
    </w:p>
    <w:p>
      <w:pPr>
        <w:pStyle w:val="ListParagraph"/>
        <w:numPr>
          <w:ilvl w:val="0"/>
          <w:numId w:val="2"/>
        </w:numPr>
        <w:spacing w:after="60" w:line="264"/>
      </w:pPr>
      <w:r>
        <w:t xml:space="preserve">One exact duplicate row is removed (302 rows remain).</w:t>
      </w:r>
    </w:p>
    <w:p>
      <w:pPr>
        <w:pStyle w:val="ListParagraph"/>
        <w:numPr>
          <w:ilvl w:val="0"/>
          <w:numId w:val="2"/>
        </w:numPr>
        <w:spacing w:after="60" w:line="264"/>
      </w:pPr>
      <w:r>
        <w:t xml:space="preserve">Out-of-range category codes and impossible values (cholesterol or blood pressure of 0) are set to missing rather than dropped.</w:t>
      </w:r>
    </w:p>
    <w:p>
      <w:pPr>
        <w:pStyle w:val="ListParagraph"/>
        <w:numPr>
          <w:ilvl w:val="0"/>
          <w:numId w:val="2"/>
        </w:numPr>
        <w:spacing w:after="60" w:line="264"/>
      </w:pPr>
      <w:r>
        <w:t xml:space="preserve">Missing values (</w:t>
      </w:r>
      <w:r>
        <w:rPr>
          <w:rFonts w:ascii="Consolas" w:cs="Consolas" w:eastAsia="Consolas" w:hAnsi="Consolas"/>
          <w:sz w:val="19"/>
          <w:szCs w:val="19"/>
        </w:rPr>
        <w:t xml:space="preserve">ca</w:t>
      </w:r>
      <w:r>
        <w:t xml:space="preserve">: 4, </w:t>
      </w:r>
      <w:r>
        <w:rPr>
          <w:rFonts w:ascii="Consolas" w:cs="Consolas" w:eastAsia="Consolas" w:hAnsi="Consolas"/>
          <w:sz w:val="19"/>
          <w:szCs w:val="19"/>
        </w:rPr>
        <w:t xml:space="preserve">thal</w:t>
      </w:r>
      <w:r>
        <w:t xml:space="preserve">: 2) are left as NaN and imputed inside the model pipeline, so the same logic is applied at training and serving time and nothing leaks from the test split. The API therefore also accepts requests without </w:t>
      </w:r>
      <w:r>
        <w:rPr>
          <w:rFonts w:ascii="Consolas" w:cs="Consolas" w:eastAsia="Consolas" w:hAnsi="Consolas"/>
          <w:sz w:val="19"/>
          <w:szCs w:val="19"/>
        </w:rPr>
        <w:t xml:space="preserve">ca</w:t>
      </w:r>
      <w:r>
        <w:t xml:space="preserve"> or </w:t>
      </w:r>
      <w:r>
        <w:rPr>
          <w:rFonts w:ascii="Consolas" w:cs="Consolas" w:eastAsia="Consolas" w:hAnsi="Consolas"/>
          <w:sz w:val="19"/>
          <w:szCs w:val="19"/>
        </w:rPr>
        <w:t xml:space="preserve">thal</w:t>
      </w:r>
      <w:r>
        <w:t xml:space="preserve">.</w:t>
      </w:r>
    </w:p>
    <w:p>
      <w:pPr>
        <w:pStyle w:val="Heading2"/>
      </w:pPr>
      <w:r>
        <w:t xml:space="preserve">3.3 Exploratory findings</w:t>
      </w:r>
    </w:p>
    <w:p>
      <w:pPr>
        <w:spacing w:after="40" w:before="80"/>
        <w:jc w:val="center"/>
      </w:pPr>
      <w:r>
        <w:drawing>
          <wp:inline distT="0" distB="0" distL="0" distR="0">
            <wp:extent cx="2647950" cy="1885950"/>
            <wp:effectExtent t="0" r="0" b="0" l="0"/>
            <wp:docPr id="1" name="class_balance.png" descr="Figure 2. Class balance after binarisation." title="Figure 2. Class balance after bina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47950" cy="1885950"/>
                    </a:xfrm>
                    <a:prstGeom prst="rect">
                      <a:avLst/>
                    </a:prstGeom>
                  </pic:spPr>
                </pic:pic>
              </a:graphicData>
            </a:graphic>
          </wp:inline>
        </w:drawing>
      </w:r>
    </w:p>
    <w:p>
      <w:pPr>
        <w:spacing w:after="160"/>
        <w:jc w:val="center"/>
      </w:pPr>
      <w:r>
        <w:rPr>
          <w:i/>
          <w:iCs/>
          <w:color w:val="4B5563"/>
          <w:sz w:val="18"/>
          <w:szCs w:val="18"/>
        </w:rPr>
        <w:t xml:space="preserve">Figure 2. Class balance after binarisation.</w:t>
      </w:r>
    </w:p>
    <w:p>
      <w:pPr>
        <w:spacing w:after="120" w:line="276"/>
        <w:jc w:val="both"/>
      </w:pPr>
      <w:r>
        <w:t xml:space="preserve">Classes are close to balanced (54% / 46%), so accuracy is informative; precision, recall and ROC-AUC are still reported and all splits are stratified.</w:t>
      </w:r>
    </w:p>
    <w:p>
      <w:pPr>
        <w:spacing w:after="40" w:before="80"/>
        <w:jc w:val="center"/>
      </w:pPr>
      <w:r>
        <w:drawing>
          <wp:inline distT="0" distB="0" distL="0" distR="0">
            <wp:extent cx="5762625" cy="3200400"/>
            <wp:effectExtent t="0" r="0" b="0" l="0"/>
            <wp:docPr id="1" name="numeric_histograms.png" descr="Figure 3. Numeric features by diagnosis." title="Figure 3. Numeric features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200400"/>
                    </a:xfrm>
                    <a:prstGeom prst="rect">
                      <a:avLst/>
                    </a:prstGeom>
                  </pic:spPr>
                </pic:pic>
              </a:graphicData>
            </a:graphic>
          </wp:inline>
        </w:drawing>
      </w:r>
    </w:p>
    <w:p>
      <w:pPr>
        <w:spacing w:after="160"/>
        <w:jc w:val="center"/>
      </w:pPr>
      <w:r>
        <w:rPr>
          <w:i/>
          <w:iCs/>
          <w:color w:val="4B5563"/>
          <w:sz w:val="18"/>
          <w:szCs w:val="18"/>
        </w:rPr>
        <w:t xml:space="preserve">Figure 3. Numeric features by diagnosis.</w:t>
      </w:r>
    </w:p>
    <w:p>
      <w:pPr>
        <w:spacing w:after="120" w:line="276"/>
        <w:jc w:val="both"/>
      </w:pPr>
      <w:r>
        <w:t xml:space="preserve">Patients with disease reach a lower maximum heart rate (</w:t>
      </w:r>
      <w:r>
        <w:rPr>
          <w:rFonts w:ascii="Consolas" w:cs="Consolas" w:eastAsia="Consolas" w:hAnsi="Consolas"/>
          <w:sz w:val="19"/>
          <w:szCs w:val="19"/>
        </w:rPr>
        <w:t xml:space="preserve">thalach</w:t>
      </w:r>
      <w:r>
        <w:t xml:space="preserve">) and show more exercise-induced ST depression (</w:t>
      </w:r>
      <w:r>
        <w:rPr>
          <w:rFonts w:ascii="Consolas" w:cs="Consolas" w:eastAsia="Consolas" w:hAnsi="Consolas"/>
          <w:sz w:val="19"/>
          <w:szCs w:val="19"/>
        </w:rPr>
        <w:t xml:space="preserve">oldpeak</w:t>
      </w:r>
      <w:r>
        <w:t xml:space="preserve">); age is shifted upward. Cholesterol and resting blood pressure overlap almost completely and carry little standalone signal.</w:t>
      </w:r>
    </w:p>
    <w:p>
      <w:pPr>
        <w:spacing w:after="40" w:before="80"/>
        <w:jc w:val="center"/>
      </w:pPr>
      <w:r>
        <w:drawing>
          <wp:inline distT="0" distB="0" distL="0" distR="0">
            <wp:extent cx="5848350" cy="2781300"/>
            <wp:effectExtent t="0" r="0" b="0" l="0"/>
            <wp:docPr id="1" name="categorical_rates.png" descr="Figure 4. Disease rate per category (n = patients in each category)." title="Figure 4. Disease rate per category (n = patients in each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781300"/>
                    </a:xfrm>
                    <a:prstGeom prst="rect">
                      <a:avLst/>
                    </a:prstGeom>
                  </pic:spPr>
                </pic:pic>
              </a:graphicData>
            </a:graphic>
          </wp:inline>
        </w:drawing>
      </w:r>
    </w:p>
    <w:p>
      <w:pPr>
        <w:spacing w:after="160"/>
        <w:jc w:val="center"/>
      </w:pPr>
      <w:r>
        <w:rPr>
          <w:i/>
          <w:iCs/>
          <w:color w:val="4B5563"/>
          <w:sz w:val="18"/>
          <w:szCs w:val="18"/>
        </w:rPr>
        <w:t xml:space="preserve">Figure 4. Disease rate per category (n = patients in each category).</w:t>
      </w:r>
    </w:p>
    <w:p>
      <w:pPr>
        <w:spacing w:after="120" w:line="276"/>
        <w:jc w:val="both"/>
      </w:pPr>
      <w:r>
        <w:t xml:space="preserve">The strongest categorical markers are asymptomatic chest pain (</w:t>
      </w:r>
      <w:r>
        <w:rPr>
          <w:rFonts w:ascii="Consolas" w:cs="Consolas" w:eastAsia="Consolas" w:hAnsi="Consolas"/>
          <w:sz w:val="19"/>
          <w:szCs w:val="19"/>
        </w:rPr>
        <w:t xml:space="preserve">cp = 4</w:t>
      </w:r>
      <w:r>
        <w:t xml:space="preserve">, 73% disease rate), a reversible thalassemia defect (</w:t>
      </w:r>
      <w:r>
        <w:rPr>
          <w:rFonts w:ascii="Consolas" w:cs="Consolas" w:eastAsia="Consolas" w:hAnsi="Consolas"/>
          <w:sz w:val="19"/>
          <w:szCs w:val="19"/>
        </w:rPr>
        <w:t xml:space="preserve">thal = 7</w:t>
      </w:r>
      <w:r>
        <w:t xml:space="preserve">, 76%), exercise-induced angina (77%) and the number of fluoroscopy-coloured vessels, which rises monotonically from 25% to 85%. </w:t>
      </w:r>
      <w:r>
        <w:rPr>
          <w:rFonts w:ascii="Consolas" w:cs="Consolas" w:eastAsia="Consolas" w:hAnsi="Consolas"/>
          <w:sz w:val="19"/>
          <w:szCs w:val="19"/>
        </w:rPr>
        <w:t xml:space="preserve">restecg = 1</w:t>
      </w:r>
      <w:r>
        <w:t xml:space="preserve"> has only 4 patients, so its rate is not reliable. Fasting blood sugar shows almost no difference.</w:t>
      </w:r>
    </w:p>
    <w:p>
      <w:pPr>
        <w:spacing w:after="40" w:before="80"/>
        <w:jc w:val="center"/>
      </w:pPr>
      <w:r>
        <w:drawing>
          <wp:inline distT="0" distB="0" distL="0" distR="0">
            <wp:extent cx="4210050" cy="3705225"/>
            <wp:effectExtent t="0" r="0" b="0" l="0"/>
            <wp:docPr id="1" name="correlation_heatmap.png" descr="Figure 5. Pearson correlation matrix." title="Figure 5. Pearson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3705225"/>
                    </a:xfrm>
                    <a:prstGeom prst="rect">
                      <a:avLst/>
                    </a:prstGeom>
                  </pic:spPr>
                </pic:pic>
              </a:graphicData>
            </a:graphic>
          </wp:inline>
        </w:drawing>
      </w:r>
    </w:p>
    <w:p>
      <w:pPr>
        <w:spacing w:after="160"/>
        <w:jc w:val="center"/>
      </w:pPr>
      <w:r>
        <w:rPr>
          <w:i/>
          <w:iCs/>
          <w:color w:val="4B5563"/>
          <w:sz w:val="18"/>
          <w:szCs w:val="18"/>
        </w:rPr>
        <w:t xml:space="preserve">Figure 5. Pearson correlation matrix.</w:t>
      </w:r>
    </w:p>
    <w:p>
      <w:pPr>
        <w:spacing w:after="120" w:line="276"/>
        <w:jc w:val="both"/>
      </w:pPr>
      <w:r>
        <w:t xml:space="preserve">No feature pair is strongly collinear (|r| &lt; 0.6), so all 13 features are kept. The largest absolute correlations with the target are </w:t>
      </w:r>
      <w:r>
        <w:rPr>
          <w:rFonts w:ascii="Consolas" w:cs="Consolas" w:eastAsia="Consolas" w:hAnsi="Consolas"/>
          <w:sz w:val="19"/>
          <w:szCs w:val="19"/>
        </w:rPr>
        <w:t xml:space="preserve">thal</w:t>
      </w:r>
      <w:r>
        <w:t xml:space="preserve"> (0.53), </w:t>
      </w:r>
      <w:r>
        <w:rPr>
          <w:rFonts w:ascii="Consolas" w:cs="Consolas" w:eastAsia="Consolas" w:hAnsi="Consolas"/>
          <w:sz w:val="19"/>
          <w:szCs w:val="19"/>
        </w:rPr>
        <w:t xml:space="preserve">ca</w:t>
      </w:r>
      <w:r>
        <w:t xml:space="preserve"> (0.46), </w:t>
      </w:r>
      <w:r>
        <w:rPr>
          <w:rFonts w:ascii="Consolas" w:cs="Consolas" w:eastAsia="Consolas" w:hAnsi="Consolas"/>
          <w:sz w:val="19"/>
          <w:szCs w:val="19"/>
        </w:rPr>
        <w:t xml:space="preserve">exang</w:t>
      </w:r>
      <w:r>
        <w:t xml:space="preserve"> (0.44), </w:t>
      </w:r>
      <w:r>
        <w:rPr>
          <w:rFonts w:ascii="Consolas" w:cs="Consolas" w:eastAsia="Consolas" w:hAnsi="Consolas"/>
          <w:sz w:val="19"/>
          <w:szCs w:val="19"/>
        </w:rPr>
        <w:t xml:space="preserve">oldpeak</w:t>
      </w:r>
      <w:r>
        <w:t xml:space="preserve"> (0.43), </w:t>
      </w:r>
      <w:r>
        <w:rPr>
          <w:rFonts w:ascii="Consolas" w:cs="Consolas" w:eastAsia="Consolas" w:hAnsi="Consolas"/>
          <w:sz w:val="19"/>
          <w:szCs w:val="19"/>
        </w:rPr>
        <w:t xml:space="preserve">thalach</w:t>
      </w:r>
      <w:r>
        <w:t xml:space="preserve"> (-0.42) and </w:t>
      </w:r>
      <w:r>
        <w:rPr>
          <w:rFonts w:ascii="Consolas" w:cs="Consolas" w:eastAsia="Consolas" w:hAnsi="Consolas"/>
          <w:sz w:val="19"/>
          <w:szCs w:val="19"/>
        </w:rPr>
        <w:t xml:space="preserve">cp</w:t>
      </w:r>
      <w:r>
        <w:t xml:space="preserve"> (0.41). Box plots, a missing-value chart and a target-correlation chart are in the repository and in </w:t>
      </w:r>
      <w:r>
        <w:rPr>
          <w:rFonts w:ascii="Consolas" w:cs="Consolas" w:eastAsia="Consolas" w:hAnsi="Consolas"/>
          <w:sz w:val="19"/>
          <w:szCs w:val="19"/>
        </w:rPr>
        <w:t xml:space="preserve">notebooks/01_eda.ipynb</w:t>
      </w:r>
      <w:r>
        <w:t xml:space="preserve">.</w:t>
      </w:r>
    </w:p>
    <w:p>
      <w:pPr>
        <w:pStyle w:val="Heading1"/>
      </w:pPr>
      <w:r>
        <w:t xml:space="preserve">4. Feature Engineering and Model Development</w:t>
      </w:r>
    </w:p>
    <w:p>
      <w:pPr>
        <w:pStyle w:val="Heading2"/>
      </w:pPr>
      <w:r>
        <w:t xml:space="preserve">4.1 Preprocessing pipeline</w:t>
      </w:r>
    </w:p>
    <w:p>
      <w:pPr>
        <w:spacing w:after="120" w:line="276"/>
        <w:jc w:val="both"/>
      </w:pPr>
      <w:r>
        <w:t xml:space="preserve">Preprocessing is a single scikit-learn </w:t>
      </w:r>
      <w:r>
        <w:rPr>
          <w:rFonts w:ascii="Consolas" w:cs="Consolas" w:eastAsia="Consolas" w:hAnsi="Consolas"/>
          <w:sz w:val="19"/>
          <w:szCs w:val="19"/>
        </w:rPr>
        <w:t xml:space="preserve">ColumnTransformer</w:t>
      </w:r>
      <w:r>
        <w:t xml:space="preserve"> stored inside the model </w:t>
      </w:r>
      <w:r>
        <w:rPr>
          <w:rFonts w:ascii="Consolas" w:cs="Consolas" w:eastAsia="Consolas" w:hAnsi="Consolas"/>
          <w:sz w:val="19"/>
          <w:szCs w:val="19"/>
        </w:rPr>
        <w:t xml:space="preserve">Pipeline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238"/>
      </w:tblGrid>
      <w:tr>
        <w:trPr>
          <w:tblHeader/>
        </w:trPr>
        <w:tc>
          <w:tcPr>
            <w:tcW w:type="dxa" w:w="1700"/>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Group</w:t>
            </w:r>
          </w:p>
        </w:tc>
        <w:tc>
          <w:tcPr>
            <w:tcW w:type="dxa" w:w="3700"/>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Features</w:t>
            </w:r>
          </w:p>
        </w:tc>
        <w:tc>
          <w:tcPr>
            <w:tcW w:type="dxa" w:w="4238"/>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Transform</w:t>
            </w:r>
          </w:p>
        </w:tc>
      </w:tr>
      <w:tr>
        <w:tc>
          <w:tcPr>
            <w:tcW w:type="dxa" w:w="17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Numeric (6)</w:t>
            </w:r>
          </w:p>
        </w:tc>
        <w:tc>
          <w:tcPr>
            <w:tcW w:type="dxa" w:w="37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age, trestbps, chol, thalach, oldpeak, ca</w:t>
            </w:r>
          </w:p>
        </w:tc>
        <w:tc>
          <w:tcPr>
            <w:tcW w:type="dxa" w:w="42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median imputation, then StandardScaler</w:t>
            </w:r>
          </w:p>
        </w:tc>
      </w:tr>
      <w:tr>
        <w:tc>
          <w:tcPr>
            <w:tcW w:type="dxa" w:w="17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Binary (3)</w:t>
            </w:r>
          </w:p>
        </w:tc>
        <w:tc>
          <w:tcPr>
            <w:tcW w:type="dxa" w:w="37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sex, fbs, exang</w:t>
            </w:r>
          </w:p>
        </w:tc>
        <w:tc>
          <w:tcPr>
            <w:tcW w:type="dxa" w:w="42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most-frequent imputation, passed through</w:t>
            </w:r>
          </w:p>
        </w:tc>
      </w:tr>
      <w:tr>
        <w:tc>
          <w:tcPr>
            <w:tcW w:type="dxa" w:w="17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Nominal (4)</w:t>
            </w:r>
          </w:p>
        </w:tc>
        <w:tc>
          <w:tcPr>
            <w:tcW w:type="dxa" w:w="37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cp, restecg, slope, thal</w:t>
            </w:r>
          </w:p>
        </w:tc>
        <w:tc>
          <w:tcPr>
            <w:tcW w:type="dxa" w:w="42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most-frequent imputation, then one-hot (unknown codes ignored)</w:t>
            </w:r>
          </w:p>
        </w:tc>
      </w:tr>
    </w:tbl>
    <w:p>
      <w:pPr>
        <w:spacing w:after="100"/>
      </w:pPr>
    </w:p>
    <w:p>
      <w:pPr>
        <w:spacing w:after="120" w:line="276"/>
        <w:jc w:val="both"/>
      </w:pPr>
      <w:r>
        <w:t xml:space="preserve">This yields 22 model inputs. </w:t>
      </w:r>
      <w:r>
        <w:rPr>
          <w:rFonts w:ascii="Consolas" w:cs="Consolas" w:eastAsia="Consolas" w:hAnsi="Consolas"/>
          <w:sz w:val="19"/>
          <w:szCs w:val="19"/>
        </w:rPr>
        <w:t xml:space="preserve">ca</w:t>
      </w:r>
      <w:r>
        <w:t xml:space="preserve"> is ordinal (0-3) and its disease rate rises monotonically, so it is scaled rather than one-hot encoded. The nominal codes have no natural order (e.g. </w:t>
      </w:r>
      <w:r>
        <w:rPr>
          <w:rFonts w:ascii="Consolas" w:cs="Consolas" w:eastAsia="Consolas" w:hAnsi="Consolas"/>
          <w:sz w:val="19"/>
          <w:szCs w:val="19"/>
        </w:rPr>
        <w:t xml:space="preserve">thal</w:t>
      </w:r>
      <w:r>
        <w:t xml:space="preserve"> 3 / 6 / 7), which is why they are one-hot encoded. Scaling matters for the distance- and margin-based models (KNN, SVM) and for regularised Logistic Regression.</w:t>
      </w:r>
    </w:p>
    <w:p>
      <w:pPr>
        <w:pStyle w:val="Heading2"/>
      </w:pPr>
      <w:r>
        <w:t xml:space="preserve">4.2 Models and tuning</w:t>
      </w:r>
    </w:p>
    <w:p>
      <w:pPr>
        <w:spacing w:after="120" w:line="276"/>
        <w:jc w:val="both"/>
      </w:pPr>
      <w:r>
        <w:t xml:space="preserve">The data are split 80/20 (stratified, seed 42). On the 241-row training split, each model family is tuned with GridSearchCV using 5-fold stratified cross-validation, scored on accuracy, precision, recall, F1 and ROC-AUC, and refit on ROC-AUC. The 61-row test split is used only for final reporting.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tblHeader/>
        </w:trPr>
        <w:tc>
          <w:tcPr>
            <w:tcW w:type="dxa" w:w="2300"/>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Model</w:t>
            </w:r>
          </w:p>
        </w:tc>
        <w:tc>
          <w:tcPr>
            <w:tcW w:type="dxa" w:w="4300"/>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Grid searched</w:t>
            </w:r>
          </w:p>
        </w:tc>
        <w:tc>
          <w:tcPr>
            <w:tcW w:type="dxa" w:w="3038"/>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Best parameters</w:t>
            </w:r>
          </w:p>
        </w:tc>
      </w:tr>
      <w:tr>
        <w:tc>
          <w:tcPr>
            <w:tcW w:type="dxa" w:w="23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Logistic Regression</w:t>
            </w:r>
          </w:p>
        </w:tc>
        <w:tc>
          <w:tcPr>
            <w:tcW w:type="dxa" w:w="43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C ∈ {0.01 … 5}, l1_ratio ∈ {0, 0.5, 1} (15)</w:t>
            </w:r>
          </w:p>
        </w:tc>
        <w:tc>
          <w:tcPr>
            <w:tcW w:type="dxa" w:w="30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C = 0.1, l1_ratio = 0 (L2)</w:t>
            </w:r>
          </w:p>
        </w:tc>
      </w:tr>
      <w:tr>
        <w:tc>
          <w:tcPr>
            <w:tcW w:type="dxa" w:w="23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Random Forest</w:t>
            </w:r>
          </w:p>
        </w:tc>
        <w:tc>
          <w:tcPr>
            <w:tcW w:type="dxa" w:w="43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trees {200, 400}, depth {3, 5, None}, min leaf {1, 3, 5} (18)</w:t>
            </w:r>
          </w:p>
        </w:tc>
        <w:tc>
          <w:tcPr>
            <w:tcW w:type="dxa" w:w="30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200 trees, depth 3, leaf 3</w:t>
            </w:r>
          </w:p>
        </w:tc>
      </w:tr>
      <w:tr>
        <w:tc>
          <w:tcPr>
            <w:tcW w:type="dxa" w:w="23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XGBoost</w:t>
            </w:r>
          </w:p>
        </w:tc>
        <w:tc>
          <w:tcPr>
            <w:tcW w:type="dxa" w:w="43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trees, depth, learning rate, subsample (24)</w:t>
            </w:r>
          </w:p>
        </w:tc>
        <w:tc>
          <w:tcPr>
            <w:tcW w:type="dxa" w:w="30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100 trees, depth 3, lr 0.03, subsample 0.8</w:t>
            </w:r>
          </w:p>
        </w:tc>
      </w:tr>
      <w:tr>
        <w:tc>
          <w:tcPr>
            <w:tcW w:type="dxa" w:w="23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SVM (RBF, calibrated)</w:t>
            </w:r>
          </w:p>
        </w:tc>
        <w:tc>
          <w:tcPr>
            <w:tcW w:type="dxa" w:w="43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C {0.1 … 5}, gamma {scale, 0.01, 0.05} (12)</w:t>
            </w:r>
          </w:p>
        </w:tc>
        <w:tc>
          <w:tcPr>
            <w:tcW w:type="dxa" w:w="30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C = 1, gamma = 0.01</w:t>
            </w:r>
          </w:p>
        </w:tc>
      </w:tr>
      <w:tr>
        <w:tc>
          <w:tcPr>
            <w:tcW w:type="dxa" w:w="23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KNN</w:t>
            </w:r>
          </w:p>
        </w:tc>
        <w:tc>
          <w:tcPr>
            <w:tcW w:type="dxa" w:w="43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k {5, 9, 15, 21}, weights {uniform, distance} (8)</w:t>
            </w:r>
          </w:p>
        </w:tc>
        <w:tc>
          <w:tcPr>
            <w:tcW w:type="dxa" w:w="30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k = 21, distance-weighted</w:t>
            </w:r>
          </w:p>
        </w:tc>
      </w:tr>
    </w:tbl>
    <w:p>
      <w:pPr>
        <w:spacing w:after="100"/>
      </w:pPr>
    </w:p>
    <w:p>
      <w:pPr>
        <w:spacing w:after="120" w:line="276"/>
        <w:jc w:val="both"/>
      </w:pPr>
      <w:r>
        <w:t xml:space="preserve">Every family prefers strong regularisation or shallow trees, which is expected with about 240 training rows. The SVM is wrapped in CalibratedClassifierCV so that it returns a calibrated probability, needed for the API's confidence output.</w:t>
      </w:r>
    </w:p>
    <w:p>
      <w:pPr>
        <w:pStyle w:val="Heading2"/>
      </w:pPr>
      <w:r>
        <w:t xml:space="preserve">4.3 Results and model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8"/>
        <w:gridCol w:w="1700"/>
        <w:gridCol w:w="1100"/>
        <w:gridCol w:w="1250"/>
        <w:gridCol w:w="1100"/>
        <w:gridCol w:w="1050"/>
        <w:gridCol w:w="1100"/>
      </w:tblGrid>
      <w:tr>
        <w:trPr>
          <w:tblHeader/>
        </w:trPr>
        <w:tc>
          <w:tcPr>
            <w:tcW w:type="dxa" w:w="2338"/>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Model</w:t>
            </w:r>
          </w:p>
        </w:tc>
        <w:tc>
          <w:tcPr>
            <w:tcW w:type="dxa" w:w="1700"/>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center"/>
            </w:pPr>
            <w:r>
              <w:rPr>
                <w:b/>
                <w:bCs/>
                <w:color w:val="FFFFFF"/>
                <w:sz w:val="18"/>
                <w:szCs w:val="18"/>
              </w:rPr>
              <w:t xml:space="preserve">CV ROC-AUC (± SD)</w:t>
            </w:r>
          </w:p>
        </w:tc>
        <w:tc>
          <w:tcPr>
            <w:tcW w:type="dxa" w:w="1100"/>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center"/>
            </w:pPr>
            <w:r>
              <w:rPr>
                <w:b/>
                <w:bCs/>
                <w:color w:val="FFFFFF"/>
                <w:sz w:val="18"/>
                <w:szCs w:val="18"/>
              </w:rPr>
              <w:t xml:space="preserve">CV acc.</w:t>
            </w:r>
          </w:p>
        </w:tc>
        <w:tc>
          <w:tcPr>
            <w:tcW w:type="dxa" w:w="1250"/>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center"/>
            </w:pPr>
            <w:r>
              <w:rPr>
                <w:b/>
                <w:bCs/>
                <w:color w:val="FFFFFF"/>
                <w:sz w:val="18"/>
                <w:szCs w:val="18"/>
              </w:rPr>
              <w:t xml:space="preserve">Test ROC-AUC</w:t>
            </w:r>
          </w:p>
        </w:tc>
        <w:tc>
          <w:tcPr>
            <w:tcW w:type="dxa" w:w="1100"/>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center"/>
            </w:pPr>
            <w:r>
              <w:rPr>
                <w:b/>
                <w:bCs/>
                <w:color w:val="FFFFFF"/>
                <w:sz w:val="18"/>
                <w:szCs w:val="18"/>
              </w:rPr>
              <w:t xml:space="preserve">Test acc.</w:t>
            </w:r>
          </w:p>
        </w:tc>
        <w:tc>
          <w:tcPr>
            <w:tcW w:type="dxa" w:w="1050"/>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center"/>
            </w:pPr>
            <w:r>
              <w:rPr>
                <w:b/>
                <w:bCs/>
                <w:color w:val="FFFFFF"/>
                <w:sz w:val="18"/>
                <w:szCs w:val="18"/>
              </w:rPr>
              <w:t xml:space="preserve">Test prec.</w:t>
            </w:r>
          </w:p>
        </w:tc>
        <w:tc>
          <w:tcPr>
            <w:tcW w:type="dxa" w:w="1100"/>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center"/>
            </w:pPr>
            <w:r>
              <w:rPr>
                <w:b/>
                <w:bCs/>
                <w:color w:val="FFFFFF"/>
                <w:sz w:val="18"/>
                <w:szCs w:val="18"/>
              </w:rPr>
              <w:t xml:space="preserve">Test recall</w:t>
            </w:r>
          </w:p>
        </w:tc>
      </w:tr>
      <w:tr>
        <w:tc>
          <w:tcPr>
            <w:tcW w:type="dxa" w:w="23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Random Forest</w:t>
            </w:r>
          </w:p>
        </w:tc>
        <w:tc>
          <w:tcPr>
            <w:tcW w:type="dxa" w:w="17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0.916 ± 0.029</w:t>
            </w:r>
          </w:p>
        </w:tc>
        <w:tc>
          <w:tcPr>
            <w:tcW w:type="dxa" w:w="11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0.822</w:t>
            </w:r>
          </w:p>
        </w:tc>
        <w:tc>
          <w:tcPr>
            <w:tcW w:type="dxa" w:w="125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0.893</w:t>
            </w:r>
          </w:p>
        </w:tc>
        <w:tc>
          <w:tcPr>
            <w:tcW w:type="dxa" w:w="11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0.787</w:t>
            </w:r>
          </w:p>
        </w:tc>
        <w:tc>
          <w:tcPr>
            <w:tcW w:type="dxa" w:w="105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0.826</w:t>
            </w:r>
          </w:p>
        </w:tc>
        <w:tc>
          <w:tcPr>
            <w:tcW w:type="dxa" w:w="11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0.679</w:t>
            </w:r>
          </w:p>
        </w:tc>
      </w:tr>
      <w:tr>
        <w:tc>
          <w:tcPr>
            <w:tcW w:type="dxa" w:w="23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SVM (RBF)</w:t>
            </w:r>
          </w:p>
        </w:tc>
        <w:tc>
          <w:tcPr>
            <w:tcW w:type="dxa" w:w="17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0.913 ± 0.039</w:t>
            </w:r>
          </w:p>
        </w:tc>
        <w:tc>
          <w:tcPr>
            <w:tcW w:type="dxa" w:w="11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0.847</w:t>
            </w:r>
          </w:p>
        </w:tc>
        <w:tc>
          <w:tcPr>
            <w:tcW w:type="dxa" w:w="125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0.911</w:t>
            </w:r>
          </w:p>
        </w:tc>
        <w:tc>
          <w:tcPr>
            <w:tcW w:type="dxa" w:w="11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0.852</w:t>
            </w:r>
          </w:p>
        </w:tc>
        <w:tc>
          <w:tcPr>
            <w:tcW w:type="dxa" w:w="105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0.880</w:t>
            </w:r>
          </w:p>
        </w:tc>
        <w:tc>
          <w:tcPr>
            <w:tcW w:type="dxa" w:w="11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0.786</w:t>
            </w:r>
          </w:p>
        </w:tc>
      </w:tr>
      <w:tr>
        <w:tc>
          <w:tcPr>
            <w:tcW w:type="dxa" w:w="2338"/>
            <w:tcBorders>
              <w:top w:val="single" w:color="CBD5E0" w:sz="4"/>
              <w:left w:val="single" w:color="CBD5E0" w:sz="4"/>
              <w:bottom w:val="single" w:color="CBD5E0" w:sz="4"/>
              <w:right w:val="single" w:color="CBD5E0" w:sz="4"/>
            </w:tcBorders>
            <w:shd w:fill="E6F4EA" w:color="auto" w:val="clear"/>
            <w:tcMar>
              <w:top w:type="dxa" w:w="60"/>
              <w:left w:type="dxa" w:w="90"/>
              <w:bottom w:type="dxa" w:w="60"/>
              <w:right w:type="dxa" w:w="90"/>
            </w:tcMar>
          </w:tcPr>
          <w:p>
            <w:pPr>
              <w:jc w:val="left"/>
            </w:pPr>
            <w:r>
              <w:rPr>
                <w:b/>
                <w:bCs/>
                <w:color w:val="111827"/>
                <w:sz w:val="18"/>
                <w:szCs w:val="18"/>
              </w:rPr>
              <w:t xml:space="preserve">Logistic Regression ★</w:t>
            </w:r>
          </w:p>
        </w:tc>
        <w:tc>
          <w:tcPr>
            <w:tcW w:type="dxa" w:w="1700"/>
            <w:tcBorders>
              <w:top w:val="single" w:color="CBD5E0" w:sz="4"/>
              <w:left w:val="single" w:color="CBD5E0" w:sz="4"/>
              <w:bottom w:val="single" w:color="CBD5E0" w:sz="4"/>
              <w:right w:val="single" w:color="CBD5E0" w:sz="4"/>
            </w:tcBorders>
            <w:shd w:fill="E6F4EA" w:color="auto" w:val="clear"/>
            <w:tcMar>
              <w:top w:type="dxa" w:w="60"/>
              <w:left w:type="dxa" w:w="90"/>
              <w:bottom w:type="dxa" w:w="60"/>
              <w:right w:type="dxa" w:w="90"/>
            </w:tcMar>
          </w:tcPr>
          <w:p>
            <w:pPr>
              <w:jc w:val="center"/>
            </w:pPr>
            <w:r>
              <w:rPr>
                <w:b/>
                <w:bCs/>
                <w:color w:val="111827"/>
                <w:sz w:val="18"/>
                <w:szCs w:val="18"/>
              </w:rPr>
              <w:t xml:space="preserve">0.908 ± 0.037</w:t>
            </w:r>
          </w:p>
        </w:tc>
        <w:tc>
          <w:tcPr>
            <w:tcW w:type="dxa" w:w="1100"/>
            <w:tcBorders>
              <w:top w:val="single" w:color="CBD5E0" w:sz="4"/>
              <w:left w:val="single" w:color="CBD5E0" w:sz="4"/>
              <w:bottom w:val="single" w:color="CBD5E0" w:sz="4"/>
              <w:right w:val="single" w:color="CBD5E0" w:sz="4"/>
            </w:tcBorders>
            <w:shd w:fill="E6F4EA" w:color="auto" w:val="clear"/>
            <w:tcMar>
              <w:top w:type="dxa" w:w="60"/>
              <w:left w:type="dxa" w:w="90"/>
              <w:bottom w:type="dxa" w:w="60"/>
              <w:right w:type="dxa" w:w="90"/>
            </w:tcMar>
          </w:tcPr>
          <w:p>
            <w:pPr>
              <w:jc w:val="center"/>
            </w:pPr>
            <w:r>
              <w:rPr>
                <w:b/>
                <w:bCs/>
                <w:color w:val="111827"/>
                <w:sz w:val="18"/>
                <w:szCs w:val="18"/>
              </w:rPr>
              <w:t xml:space="preserve">0.850</w:t>
            </w:r>
          </w:p>
        </w:tc>
        <w:tc>
          <w:tcPr>
            <w:tcW w:type="dxa" w:w="1250"/>
            <w:tcBorders>
              <w:top w:val="single" w:color="CBD5E0" w:sz="4"/>
              <w:left w:val="single" w:color="CBD5E0" w:sz="4"/>
              <w:bottom w:val="single" w:color="CBD5E0" w:sz="4"/>
              <w:right w:val="single" w:color="CBD5E0" w:sz="4"/>
            </w:tcBorders>
            <w:shd w:fill="E6F4EA" w:color="auto" w:val="clear"/>
            <w:tcMar>
              <w:top w:type="dxa" w:w="60"/>
              <w:left w:type="dxa" w:w="90"/>
              <w:bottom w:type="dxa" w:w="60"/>
              <w:right w:type="dxa" w:w="90"/>
            </w:tcMar>
          </w:tcPr>
          <w:p>
            <w:pPr>
              <w:jc w:val="center"/>
            </w:pPr>
            <w:r>
              <w:rPr>
                <w:b/>
                <w:bCs/>
                <w:color w:val="111827"/>
                <w:sz w:val="18"/>
                <w:szCs w:val="18"/>
              </w:rPr>
              <w:t xml:space="preserve">0.922</w:t>
            </w:r>
          </w:p>
        </w:tc>
        <w:tc>
          <w:tcPr>
            <w:tcW w:type="dxa" w:w="1100"/>
            <w:tcBorders>
              <w:top w:val="single" w:color="CBD5E0" w:sz="4"/>
              <w:left w:val="single" w:color="CBD5E0" w:sz="4"/>
              <w:bottom w:val="single" w:color="CBD5E0" w:sz="4"/>
              <w:right w:val="single" w:color="CBD5E0" w:sz="4"/>
            </w:tcBorders>
            <w:shd w:fill="E6F4EA" w:color="auto" w:val="clear"/>
            <w:tcMar>
              <w:top w:type="dxa" w:w="60"/>
              <w:left w:type="dxa" w:w="90"/>
              <w:bottom w:type="dxa" w:w="60"/>
              <w:right w:type="dxa" w:w="90"/>
            </w:tcMar>
          </w:tcPr>
          <w:p>
            <w:pPr>
              <w:jc w:val="center"/>
            </w:pPr>
            <w:r>
              <w:rPr>
                <w:b/>
                <w:bCs/>
                <w:color w:val="111827"/>
                <w:sz w:val="18"/>
                <w:szCs w:val="18"/>
              </w:rPr>
              <w:t xml:space="preserve">0.852</w:t>
            </w:r>
          </w:p>
        </w:tc>
        <w:tc>
          <w:tcPr>
            <w:tcW w:type="dxa" w:w="1050"/>
            <w:tcBorders>
              <w:top w:val="single" w:color="CBD5E0" w:sz="4"/>
              <w:left w:val="single" w:color="CBD5E0" w:sz="4"/>
              <w:bottom w:val="single" w:color="CBD5E0" w:sz="4"/>
              <w:right w:val="single" w:color="CBD5E0" w:sz="4"/>
            </w:tcBorders>
            <w:shd w:fill="E6F4EA" w:color="auto" w:val="clear"/>
            <w:tcMar>
              <w:top w:type="dxa" w:w="60"/>
              <w:left w:type="dxa" w:w="90"/>
              <w:bottom w:type="dxa" w:w="60"/>
              <w:right w:type="dxa" w:w="90"/>
            </w:tcMar>
          </w:tcPr>
          <w:p>
            <w:pPr>
              <w:jc w:val="center"/>
            </w:pPr>
            <w:r>
              <w:rPr>
                <w:b/>
                <w:bCs/>
                <w:color w:val="111827"/>
                <w:sz w:val="18"/>
                <w:szCs w:val="18"/>
              </w:rPr>
              <w:t xml:space="preserve">0.880</w:t>
            </w:r>
          </w:p>
        </w:tc>
        <w:tc>
          <w:tcPr>
            <w:tcW w:type="dxa" w:w="1100"/>
            <w:tcBorders>
              <w:top w:val="single" w:color="CBD5E0" w:sz="4"/>
              <w:left w:val="single" w:color="CBD5E0" w:sz="4"/>
              <w:bottom w:val="single" w:color="CBD5E0" w:sz="4"/>
              <w:right w:val="single" w:color="CBD5E0" w:sz="4"/>
            </w:tcBorders>
            <w:shd w:fill="E6F4EA" w:color="auto" w:val="clear"/>
            <w:tcMar>
              <w:top w:type="dxa" w:w="60"/>
              <w:left w:type="dxa" w:w="90"/>
              <w:bottom w:type="dxa" w:w="60"/>
              <w:right w:type="dxa" w:w="90"/>
            </w:tcMar>
          </w:tcPr>
          <w:p>
            <w:pPr>
              <w:jc w:val="center"/>
            </w:pPr>
            <w:r>
              <w:rPr>
                <w:b/>
                <w:bCs/>
                <w:color w:val="111827"/>
                <w:sz w:val="18"/>
                <w:szCs w:val="18"/>
              </w:rPr>
              <w:t xml:space="preserve">0.786</w:t>
            </w:r>
          </w:p>
        </w:tc>
      </w:tr>
      <w:tr>
        <w:tc>
          <w:tcPr>
            <w:tcW w:type="dxa" w:w="23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XGBoost</w:t>
            </w:r>
          </w:p>
        </w:tc>
        <w:tc>
          <w:tcPr>
            <w:tcW w:type="dxa" w:w="17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0.903 ± 0.037</w:t>
            </w:r>
          </w:p>
        </w:tc>
        <w:tc>
          <w:tcPr>
            <w:tcW w:type="dxa" w:w="11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0.813</w:t>
            </w:r>
          </w:p>
        </w:tc>
        <w:tc>
          <w:tcPr>
            <w:tcW w:type="dxa" w:w="125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0.895</w:t>
            </w:r>
          </w:p>
        </w:tc>
        <w:tc>
          <w:tcPr>
            <w:tcW w:type="dxa" w:w="11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0.787</w:t>
            </w:r>
          </w:p>
        </w:tc>
        <w:tc>
          <w:tcPr>
            <w:tcW w:type="dxa" w:w="105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0.826</w:t>
            </w:r>
          </w:p>
        </w:tc>
        <w:tc>
          <w:tcPr>
            <w:tcW w:type="dxa" w:w="11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0.679</w:t>
            </w:r>
          </w:p>
        </w:tc>
      </w:tr>
      <w:tr>
        <w:tc>
          <w:tcPr>
            <w:tcW w:type="dxa" w:w="23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KNN</w:t>
            </w:r>
          </w:p>
        </w:tc>
        <w:tc>
          <w:tcPr>
            <w:tcW w:type="dxa" w:w="17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0.894 ± 0.040</w:t>
            </w:r>
          </w:p>
        </w:tc>
        <w:tc>
          <w:tcPr>
            <w:tcW w:type="dxa" w:w="11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0.838</w:t>
            </w:r>
          </w:p>
        </w:tc>
        <w:tc>
          <w:tcPr>
            <w:tcW w:type="dxa" w:w="125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0.905</w:t>
            </w:r>
          </w:p>
        </w:tc>
        <w:tc>
          <w:tcPr>
            <w:tcW w:type="dxa" w:w="11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0.787</w:t>
            </w:r>
          </w:p>
        </w:tc>
        <w:tc>
          <w:tcPr>
            <w:tcW w:type="dxa" w:w="105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0.800</w:t>
            </w:r>
          </w:p>
        </w:tc>
        <w:tc>
          <w:tcPr>
            <w:tcW w:type="dxa" w:w="11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center"/>
            </w:pPr>
            <w:r>
              <w:rPr>
                <w:b w:val="false"/>
                <w:bCs w:val="false"/>
                <w:color w:val="111827"/>
                <w:sz w:val="18"/>
                <w:szCs w:val="18"/>
              </w:rPr>
              <w:t xml:space="preserve">0.714</w:t>
            </w:r>
          </w:p>
        </w:tc>
      </w:tr>
    </w:tbl>
    <w:p>
      <w:pPr>
        <w:spacing w:after="100"/>
      </w:pPr>
    </w:p>
    <w:p>
      <w:pPr>
        <w:spacing w:after="120" w:line="276"/>
        <w:jc w:val="both"/>
      </w:pPr>
      <w:r>
        <w:rPr>
          <w:b/>
          <w:bCs/>
        </w:rPr>
        <w:t xml:space="preserve">Selection rule. </w:t>
      </w:r>
      <w:r>
        <w:t xml:space="preserve">Random Forest has the highest mean CV ROC-AUC, but the spread between all five families (0.894-0.916) is smaller than the fold-to-fold standard deviation (about 0.03-0.04). Picking the top mean would mostly be picking noise. The training script therefore applies the one-standard-error rule: among the families whose CV ROC-AUC lies within one SD of the best (here, all five), it chooses the simplest. Logistic Regression is selected. It also generalises best to the untouched test split, trains in milliseconds, and its coefficients are directly interpretable. The rule is implemented in </w:t>
      </w:r>
      <w:r>
        <w:rPr>
          <w:rFonts w:ascii="Consolas" w:cs="Consolas" w:eastAsia="Consolas" w:hAnsi="Consolas"/>
          <w:sz w:val="19"/>
          <w:szCs w:val="19"/>
        </w:rPr>
        <w:t xml:space="preserve">select_champion()</w:t>
      </w:r>
      <w:r>
        <w:t xml:space="preserve"> and covered by a unit test, so the choice is automated and reproducible rather than made by hand.</w:t>
      </w:r>
    </w:p>
    <w:p>
      <w:pPr>
        <w:spacing w:after="40" w:before="80"/>
        <w:jc w:val="center"/>
      </w:pPr>
      <w:r>
        <w:drawing>
          <wp:inline distT="0" distB="0" distL="0" distR="0">
            <wp:extent cx="2466975" cy="2190750"/>
            <wp:effectExtent t="0" r="0" b="0" l="0"/>
            <wp:docPr id="1" name="roc_curve.png" descr="Figure 6. Champion ROC curve on the test split (AUC 0.922)." title="Figure 6. Champion ROC curve on the test split (AUC 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66975" cy="2190750"/>
                    </a:xfrm>
                    <a:prstGeom prst="rect">
                      <a:avLst/>
                    </a:prstGeom>
                  </pic:spPr>
                </pic:pic>
              </a:graphicData>
            </a:graphic>
          </wp:inline>
        </w:drawing>
      </w:r>
    </w:p>
    <w:p>
      <w:pPr>
        <w:spacing w:after="160"/>
        <w:jc w:val="center"/>
      </w:pPr>
      <w:r>
        <w:rPr>
          <w:i/>
          <w:iCs/>
          <w:color w:val="4B5563"/>
          <w:sz w:val="18"/>
          <w:szCs w:val="18"/>
        </w:rPr>
        <w:t xml:space="preserve">Figure 6. Champion ROC curve on the test split (AUC 0.922).</w:t>
      </w:r>
    </w:p>
    <w:p>
      <w:pPr>
        <w:spacing w:after="120" w:line="276"/>
        <w:jc w:val="both"/>
      </w:pPr>
      <w:r>
        <w:t xml:space="preserve">On the test split the champion produces 22 true positives, 30 true negatives, 3 false positives and 6 false negatives. In a screening context false negatives are the costlier error, so the decision threshold is exposed as a configuration value (DECISION_THRESHOLD) rather than hard-coded.</w:t>
      </w:r>
    </w:p>
    <w:p>
      <w:pPr>
        <w:spacing w:after="40" w:before="80"/>
        <w:jc w:val="center"/>
      </w:pPr>
      <w:r>
        <w:drawing>
          <wp:inline distT="0" distB="0" distL="0" distR="0">
            <wp:extent cx="3295650" cy="2695575"/>
            <wp:effectExtent t="0" r="0" b="0" l="0"/>
            <wp:docPr id="1" name="feature_importance.png" descr="Figure 7. Logistic Regression coefficients (standardised inputs)." title="Figure 7. Logistic Regression coefficients (standardised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95650" cy="2695575"/>
                    </a:xfrm>
                    <a:prstGeom prst="rect">
                      <a:avLst/>
                    </a:prstGeom>
                  </pic:spPr>
                </pic:pic>
              </a:graphicData>
            </a:graphic>
          </wp:inline>
        </w:drawing>
      </w:r>
    </w:p>
    <w:p>
      <w:pPr>
        <w:spacing w:after="160"/>
        <w:jc w:val="center"/>
      </w:pPr>
      <w:r>
        <w:rPr>
          <w:i/>
          <w:iCs/>
          <w:color w:val="4B5563"/>
          <w:sz w:val="18"/>
          <w:szCs w:val="18"/>
        </w:rPr>
        <w:t xml:space="preserve">Figure 7. Logistic Regression coefficients (standardised inputs).</w:t>
      </w:r>
    </w:p>
    <w:p>
      <w:pPr>
        <w:spacing w:after="120" w:line="276"/>
        <w:jc w:val="both"/>
      </w:pPr>
      <w:r>
        <w:t xml:space="preserve">The largest coefficients (number of coloured vessels, thalassemia type, asymptomatic chest pain, male sex, exercise angina, ST depression) match the EDA findings and established clinical risk factors, which supports the model's validity.</w:t>
      </w:r>
    </w:p>
    <w:p>
      <w:pPr>
        <w:pStyle w:val="Heading1"/>
      </w:pPr>
      <w:r>
        <w:t xml:space="preserve">5. Experiment Tracking with MLflow</w:t>
      </w:r>
    </w:p>
    <w:p>
      <w:pPr>
        <w:spacing w:after="120" w:line="276"/>
        <w:jc w:val="both"/>
      </w:pPr>
      <w:r>
        <w:t xml:space="preserve">MLflow (SQLite backend, </w:t>
      </w:r>
      <w:r>
        <w:rPr>
          <w:rFonts w:ascii="Consolas" w:cs="Consolas" w:eastAsia="Consolas" w:hAnsi="Consolas"/>
          <w:sz w:val="19"/>
          <w:szCs w:val="19"/>
        </w:rPr>
        <w:t xml:space="preserve">mlflow.db</w:t>
      </w:r>
      <w:r>
        <w:t xml:space="preserve">) is integrated directly into </w:t>
      </w:r>
      <w:r>
        <w:rPr>
          <w:rFonts w:ascii="Consolas" w:cs="Consolas" w:eastAsia="Consolas" w:hAnsi="Consolas"/>
          <w:sz w:val="19"/>
          <w:szCs w:val="19"/>
        </w:rPr>
        <w:t xml:space="preserve">heart.train</w:t>
      </w:r>
      <w:r>
        <w:t xml:space="preserve">. One training execution creates 83 runs in the experiment </w:t>
      </w:r>
      <w:r>
        <w:rPr>
          <w:rFonts w:ascii="Consolas" w:cs="Consolas" w:eastAsia="Consolas" w:hAnsi="Consolas"/>
          <w:sz w:val="19"/>
          <w:szCs w:val="19"/>
        </w:rPr>
        <w:t xml:space="preserve">heart-disease-classification</w:t>
      </w:r>
      <w:r>
        <w:t xml:space="preserve">:</w:t>
      </w:r>
    </w:p>
    <w:p>
      <w:pPr>
        <w:pStyle w:val="ListParagraph"/>
        <w:numPr>
          <w:ilvl w:val="0"/>
          <w:numId w:val="2"/>
        </w:numPr>
        <w:spacing w:after="60" w:line="264"/>
      </w:pPr>
      <w:r>
        <w:rPr>
          <w:b/>
          <w:bCs/>
        </w:rPr>
        <w:t xml:space="preserve">5 parent runs</w:t>
      </w:r>
      <w:r>
        <w:t xml:space="preserve"> (one per model family): best hyper-parameters; grid size; CV mean and SD for all five metrics; test metrics; training time; artifacts (confusion matrix, ROC curve, feature-importance plot, full CV results CSV); and the fitted pipeline logged as an MLflow model with input signature and example.</w:t>
      </w:r>
    </w:p>
    <w:p>
      <w:pPr>
        <w:pStyle w:val="ListParagraph"/>
        <w:numPr>
          <w:ilvl w:val="0"/>
          <w:numId w:val="2"/>
        </w:numPr>
        <w:spacing w:after="60" w:line="264"/>
      </w:pPr>
      <w:r>
        <w:rPr>
          <w:b/>
          <w:bCs/>
        </w:rPr>
        <w:t xml:space="preserve">77 nested child runs</w:t>
      </w:r>
      <w:r>
        <w:t xml:space="preserve">, one per grid candidate, with its parameters, mean CV metrics and rank. This makes the whole search comparable in the MLflow UI, not just the winners.</w:t>
      </w:r>
    </w:p>
    <w:p>
      <w:pPr>
        <w:pStyle w:val="ListParagraph"/>
        <w:numPr>
          <w:ilvl w:val="0"/>
          <w:numId w:val="2"/>
        </w:numPr>
        <w:spacing w:after="60" w:line="264"/>
      </w:pPr>
      <w:r>
        <w:rPr>
          <w:b/>
          <w:bCs/>
        </w:rPr>
        <w:t xml:space="preserve">1 champion-selection run</w:t>
      </w:r>
      <w:r>
        <w:t xml:space="preserve"> recording the selection rule, the chosen family, the comparison table and the model metadata. The champion is also registered as </w:t>
      </w:r>
      <w:r>
        <w:rPr>
          <w:rFonts w:ascii="Consolas" w:cs="Consolas" w:eastAsia="Consolas" w:hAnsi="Consolas"/>
          <w:sz w:val="19"/>
          <w:szCs w:val="19"/>
        </w:rPr>
        <w:t xml:space="preserve">heart-disease-classifier</w:t>
      </w:r>
      <w:r>
        <w:t xml:space="preserve"> in the MLflow Model Registry.</w:t>
      </w:r>
    </w:p>
    <w:p>
      <w:pPr>
        <w:spacing w:after="40" w:before="80"/>
        <w:jc w:val="center"/>
      </w:pPr>
      <w:r>
        <w:drawing>
          <wp:inline distT="0" distB="0" distL="0" distR="0">
            <wp:extent cx="6038850" cy="2162175"/>
            <wp:effectExtent t="0" r="0" b="0" l="0"/>
            <wp:docPr id="1" name="experiment_summary.png" descr="Figure 8. All 77 tracked candidates and per-family best (left); held-out test metrics (right)." title="Figure 8. All 77 tracked candidates and per-family best (left); held-out test metric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8850" cy="2162175"/>
                    </a:xfrm>
                    <a:prstGeom prst="rect">
                      <a:avLst/>
                    </a:prstGeom>
                  </pic:spPr>
                </pic:pic>
              </a:graphicData>
            </a:graphic>
          </wp:inline>
        </w:drawing>
      </w:r>
    </w:p>
    <w:p>
      <w:pPr>
        <w:spacing w:after="160"/>
        <w:jc w:val="center"/>
      </w:pPr>
      <w:r>
        <w:rPr>
          <w:i/>
          <w:iCs/>
          <w:color w:val="4B5563"/>
          <w:sz w:val="18"/>
          <w:szCs w:val="18"/>
        </w:rPr>
        <w:t xml:space="preserve">Figure 8. All 77 tracked candidates and per-family best (left); held-out test metrics (right).</w:t>
      </w:r>
    </w:p>
    <w:p>
      <w:pPr>
        <w:spacing w:after="120" w:line="276"/>
        <w:jc w:val="both"/>
      </w:pPr>
      <w:r>
        <w:t xml:space="preserve">Figure 8 is generated from the MLflow database itself. It shows that the tuning grids span a wide range (one heavily regularised L1 candidate collapses to AUC 0.5), while the best configurations of all families overlap within their error bars.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B7791F" w:sz="8"/>
              <w:left w:val="dashed" w:color="B7791F" w:sz="8"/>
              <w:bottom w:val="dashed" w:color="B7791F" w:sz="8"/>
              <w:right w:val="dashed" w:color="B7791F" w:sz="8"/>
            </w:tcBorders>
            <w:shd w:fill="FFFBEB" w:color="auto" w:val="clear"/>
            <w:tcMar>
              <w:top w:type="dxa" w:w="260"/>
              <w:left w:type="dxa" w:w="200"/>
              <w:bottom w:type="dxa" w:w="260"/>
              <w:right w:type="dxa" w:w="200"/>
            </w:tcMar>
          </w:tcPr>
          <w:p>
            <w:pPr>
              <w:jc w:val="center"/>
            </w:pPr>
            <w:r>
              <w:rPr>
                <w:b/>
                <w:bCs/>
                <w:color w:val="92400E"/>
                <w:sz w:val="19"/>
                <w:szCs w:val="19"/>
              </w:rPr>
              <w:t xml:space="preserve">[ INSERT SCREENSHOT ]  </w:t>
            </w:r>
            <w:r>
              <w:rPr>
                <w:color w:val="92400E"/>
                <w:sz w:val="19"/>
                <w:szCs w:val="19"/>
              </w:rPr>
              <w:t xml:space="preserve">MLflow UI: experiment run list comparing the 5 parent runs (metrics columns visible)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B7791F" w:sz="8"/>
              <w:left w:val="dashed" w:color="B7791F" w:sz="8"/>
              <w:bottom w:val="dashed" w:color="B7791F" w:sz="8"/>
              <w:right w:val="dashed" w:color="B7791F" w:sz="8"/>
            </w:tcBorders>
            <w:shd w:fill="FFFBEB" w:color="auto" w:val="clear"/>
            <w:tcMar>
              <w:top w:type="dxa" w:w="260"/>
              <w:left w:type="dxa" w:w="200"/>
              <w:bottom w:type="dxa" w:w="260"/>
              <w:right w:type="dxa" w:w="200"/>
            </w:tcMar>
          </w:tcPr>
          <w:p>
            <w:pPr>
              <w:jc w:val="center"/>
            </w:pPr>
            <w:r>
              <w:rPr>
                <w:b/>
                <w:bCs/>
                <w:color w:val="92400E"/>
                <w:sz w:val="19"/>
                <w:szCs w:val="19"/>
              </w:rPr>
              <w:t xml:space="preserve">[ INSERT SCREENSHOT ]  </w:t>
            </w:r>
            <w:r>
              <w:rPr>
                <w:color w:val="92400E"/>
                <w:sz w:val="19"/>
                <w:szCs w:val="19"/>
              </w:rPr>
              <w:t xml:space="preserve">MLflow UI: one parent run showing parameters, metrics and the evaluation/ artifacts folder</w:t>
            </w:r>
          </w:p>
        </w:tc>
      </w:tr>
    </w:tbl>
    <w:p>
      <w:pPr>
        <w:pStyle w:val="Heading1"/>
      </w:pPr>
      <w:r>
        <w:t xml:space="preserve">6. Model Packaging and Reproducibility</w:t>
      </w:r>
    </w:p>
    <w:p>
      <w:pPr>
        <w:pStyle w:val="ListParagraph"/>
        <w:numPr>
          <w:ilvl w:val="0"/>
          <w:numId w:val="2"/>
        </w:numPr>
        <w:spacing w:after="60" w:line="264"/>
      </w:pPr>
      <w:r>
        <w:rPr>
          <w:b/>
          <w:bCs/>
        </w:rPr>
        <w:t xml:space="preserve">Single artefact. </w:t>
      </w:r>
      <w:r>
        <w:t xml:space="preserve">The champion is saved as </w:t>
      </w:r>
      <w:r>
        <w:rPr>
          <w:rFonts w:ascii="Consolas" w:cs="Consolas" w:eastAsia="Consolas" w:hAnsi="Consolas"/>
          <w:sz w:val="19"/>
          <w:szCs w:val="19"/>
        </w:rPr>
        <w:t xml:space="preserve">models/model.joblib</w:t>
      </w:r>
      <w:r>
        <w:t xml:space="preserve">, a complete Pipeline (imputers, scaler, one-hot encoder, classifier). Raw patient values go in and probabilities come out; there is no separate preprocessing code to drift out of sync between notebook, training and serving.</w:t>
      </w:r>
    </w:p>
    <w:p>
      <w:pPr>
        <w:pStyle w:val="ListParagraph"/>
        <w:numPr>
          <w:ilvl w:val="0"/>
          <w:numId w:val="2"/>
        </w:numPr>
        <w:spacing w:after="60" w:line="264"/>
      </w:pPr>
      <w:r>
        <w:rPr>
          <w:b/>
          <w:bCs/>
        </w:rPr>
        <w:t xml:space="preserve">MLflow format. </w:t>
      </w:r>
      <w:r>
        <w:t xml:space="preserve">Each family's pipeline is also logged as an MLflow model with signature and input example, and the champion is in the registry, so it can be served with </w:t>
      </w:r>
      <w:r>
        <w:rPr>
          <w:rFonts w:ascii="Consolas" w:cs="Consolas" w:eastAsia="Consolas" w:hAnsi="Consolas"/>
          <w:sz w:val="19"/>
          <w:szCs w:val="19"/>
        </w:rPr>
        <w:t xml:space="preserve">mlflow models serve</w:t>
      </w:r>
      <w:r>
        <w:t xml:space="preserve"> as an alternative.</w:t>
      </w:r>
    </w:p>
    <w:p>
      <w:pPr>
        <w:pStyle w:val="ListParagraph"/>
        <w:numPr>
          <w:ilvl w:val="0"/>
          <w:numId w:val="2"/>
        </w:numPr>
        <w:spacing w:after="60" w:line="264"/>
      </w:pPr>
      <w:r>
        <w:rPr>
          <w:b/>
          <w:bCs/>
        </w:rPr>
        <w:t xml:space="preserve">Metadata. </w:t>
      </w:r>
      <w:r>
        <w:rPr>
          <w:rFonts w:ascii="Consolas" w:cs="Consolas" w:eastAsia="Consolas" w:hAnsi="Consolas"/>
          <w:sz w:val="19"/>
          <w:szCs w:val="19"/>
        </w:rPr>
        <w:t xml:space="preserve">models/model_meta.json</w:t>
      </w:r>
      <w:r>
        <w:t xml:space="preserve"> records the model family, MLflow run ID, parameters, feature order, threshold, selection rule, scores and training timestamp. The API reports the run ID as its model version.</w:t>
      </w:r>
    </w:p>
    <w:p>
      <w:pPr>
        <w:pStyle w:val="ListParagraph"/>
        <w:numPr>
          <w:ilvl w:val="0"/>
          <w:numId w:val="2"/>
        </w:numPr>
        <w:spacing w:after="60" w:line="264"/>
      </w:pPr>
      <w:r>
        <w:rPr>
          <w:b/>
          <w:bCs/>
        </w:rPr>
        <w:t xml:space="preserve">Determinism. </w:t>
      </w:r>
      <w:r>
        <w:t xml:space="preserve">A fixed seed is used for splits, CV folds and all estimators; retraining reproduces identical metrics. Dependencies are pinned to exact versions.</w:t>
      </w:r>
    </w:p>
    <w:p>
      <w:pPr>
        <w:pStyle w:val="ListParagraph"/>
        <w:numPr>
          <w:ilvl w:val="0"/>
          <w:numId w:val="2"/>
        </w:numPr>
        <w:spacing w:after="60" w:line="264"/>
      </w:pPr>
      <w:r>
        <w:rPr>
          <w:b/>
          <w:bCs/>
        </w:rPr>
        <w:t xml:space="preserve">Notebooks. </w:t>
      </w:r>
      <w:r>
        <w:t xml:space="preserve">Three executed notebooks (EDA, training and tracking, inference) call the same package functions as the scripts, so they cannot diverge from the production code.</w:t>
      </w:r>
    </w:p>
    <w:p>
      <w:pPr>
        <w:pStyle w:val="Heading1"/>
      </w:pPr>
      <w:r>
        <w:t xml:space="preserve">7. CI/CD Pipeline and Automated Testing</w:t>
      </w:r>
    </w:p>
    <w:p>
      <w:pPr>
        <w:pStyle w:val="Heading2"/>
      </w:pPr>
      <w:r>
        <w:t xml:space="preserve">7.1 Unit tests</w:t>
      </w:r>
    </w:p>
    <w:p>
      <w:pPr>
        <w:spacing w:after="120" w:line="276"/>
        <w:jc w:val="both"/>
      </w:pPr>
      <w:r>
        <w:t xml:space="preserve">The </w:t>
      </w:r>
      <w:r>
        <w:rPr>
          <w:rFonts w:ascii="Consolas" w:cs="Consolas" w:eastAsia="Consolas" w:hAnsi="Consolas"/>
          <w:sz w:val="19"/>
          <w:szCs w:val="19"/>
        </w:rPr>
        <w:t xml:space="preserve">tests/</w:t>
      </w:r>
      <w:r>
        <w:t xml:space="preserve"> folder contains 32 pytest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File</w:t>
            </w:r>
          </w:p>
        </w:tc>
        <w:tc>
          <w:tcPr>
            <w:tcW w:type="dxa" w:w="7238"/>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What is tested</w:t>
            </w:r>
          </w:p>
        </w:tc>
      </w:tr>
      <w:tr>
        <w:tc>
          <w:tcPr>
            <w:tcW w:type="dxa" w:w="24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test_data.py (7)</w:t>
            </w:r>
          </w:p>
        </w:tc>
        <w:tc>
          <w:tcPr>
            <w:tcW w:type="dxa" w:w="72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target binarisation, duplicate removal, invalid values become NaN, valid category codes, input not mutated, mirror re-coding, cleaned-data schema</w:t>
            </w:r>
          </w:p>
        </w:tc>
      </w:tr>
      <w:tr>
        <w:tc>
          <w:tcPr>
            <w:tcW w:type="dxa" w:w="24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test_features.py (5)</w:t>
            </w:r>
          </w:p>
        </w:tc>
        <w:tc>
          <w:tcPr>
            <w:tcW w:type="dxa" w:w="72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no NaNs after preprocessing, output width (22), numeric scaling, missing and unseen category handling, column-order independence</w:t>
            </w:r>
          </w:p>
        </w:tc>
      </w:tr>
      <w:tr>
        <w:tc>
          <w:tcPr>
            <w:tcW w:type="dxa" w:w="24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test_model.py (11)</w:t>
            </w:r>
          </w:p>
        </w:tc>
        <w:tc>
          <w:tcPr>
            <w:tcW w:type="dxa" w:w="72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required models present, every family trains and beats AUC 0.75, metrics function, feature importance, one-SE selection rule, saved model quality</w:t>
            </w:r>
          </w:p>
        </w:tc>
      </w:tr>
      <w:tr>
        <w:tc>
          <w:tcPr>
            <w:tcW w:type="dxa" w:w="24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test_api.py (9)</w:t>
            </w:r>
          </w:p>
        </w:tc>
        <w:tc>
          <w:tcPr>
            <w:tcW w:type="dxa" w:w="72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health/ready, single and batch prediction, optional fields, four invalid payloads return 422, Prometheus metrics exposed</w:t>
            </w:r>
          </w:p>
        </w:tc>
      </w:tr>
    </w:tbl>
    <w:p>
      <w:pPr>
        <w:spacing w:after="100"/>
      </w:pPr>
    </w:p>
    <w:p>
      <w:pPr>
        <w:spacing w:after="120" w:line="276"/>
        <w:jc w:val="both"/>
      </w:pPr>
      <w:r>
        <w:t xml:space="preserve">The API tests train a tiny model into a temporary directory, so they do not depend on a pre-built artefact.</w:t>
      </w:r>
    </w:p>
    <w:p>
      <w:pPr>
        <w:pStyle w:val="Heading2"/>
      </w:pPr>
      <w:r>
        <w:t xml:space="preserve">7.2 GitHub Actions workflow</w:t>
      </w:r>
    </w:p>
    <w:p>
      <w:pPr>
        <w:spacing w:after="120" w:line="276"/>
        <w:jc w:val="both"/>
      </w:pPr>
      <w:r>
        <w:rPr>
          <w:rFonts w:ascii="Consolas" w:cs="Consolas" w:eastAsia="Consolas" w:hAnsi="Consolas"/>
          <w:sz w:val="19"/>
          <w:szCs w:val="19"/>
        </w:rPr>
        <w:t xml:space="preserve">.github/workflows/ci.yml</w:t>
      </w:r>
      <w:r>
        <w:t xml:space="preserve"> runs on every push, pull request and manual dispatch. Jobs are chained, so any failure stops the pipeline with the failing step's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338"/>
        <w:gridCol w:w="2800"/>
      </w:tblGrid>
      <w:tr>
        <w:trPr>
          <w:tblHeader/>
        </w:trPr>
        <w:tc>
          <w:tcPr>
            <w:tcW w:type="dxa" w:w="1500"/>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Job</w:t>
            </w:r>
          </w:p>
        </w:tc>
        <w:tc>
          <w:tcPr>
            <w:tcW w:type="dxa" w:w="5338"/>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Steps</w:t>
            </w:r>
          </w:p>
        </w:tc>
        <w:tc>
          <w:tcPr>
            <w:tcW w:type="dxa" w:w="2800"/>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Artifacts</w:t>
            </w:r>
          </w:p>
        </w:tc>
      </w:tr>
      <w:tr>
        <w:tc>
          <w:tcPr>
            <w:tcW w:type="dxa" w:w="15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1. lint</w:t>
            </w:r>
          </w:p>
        </w:tc>
        <w:tc>
          <w:tcPr>
            <w:tcW w:type="dxa" w:w="53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flake8 over src, api, tests (fails on any violation)</w:t>
            </w:r>
          </w:p>
        </w:tc>
        <w:tc>
          <w:tcPr>
            <w:tcW w:type="dxa" w:w="28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console log</w:t>
            </w:r>
          </w:p>
        </w:tc>
      </w:tr>
      <w:tr>
        <w:tc>
          <w:tcPr>
            <w:tcW w:type="dxa" w:w="15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2. test</w:t>
            </w:r>
          </w:p>
        </w:tc>
        <w:tc>
          <w:tcPr>
            <w:tcW w:type="dxa" w:w="53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install pinned requirements, prepare data, pytest -v</w:t>
            </w:r>
          </w:p>
        </w:tc>
        <w:tc>
          <w:tcPr>
            <w:tcW w:type="dxa" w:w="28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JUnit XML report</w:t>
            </w:r>
          </w:p>
        </w:tc>
      </w:tr>
      <w:tr>
        <w:tc>
          <w:tcPr>
            <w:tcW w:type="dxa" w:w="15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3. train</w:t>
            </w:r>
          </w:p>
        </w:tc>
        <w:tc>
          <w:tcPr>
            <w:tcW w:type="dxa" w:w="53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full training with MLflow; quality gate: champion CV ROC-AUC must be ≥ 0.85</w:t>
            </w:r>
          </w:p>
        </w:tc>
        <w:tc>
          <w:tcPr>
            <w:tcW w:type="dxa" w:w="28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model, mlflow.db, plots, training log</w:t>
            </w:r>
          </w:p>
        </w:tc>
      </w:tr>
      <w:tr>
        <w:tc>
          <w:tcPr>
            <w:tcW w:type="dxa" w:w="15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4. docker</w:t>
            </w:r>
          </w:p>
        </w:tc>
        <w:tc>
          <w:tcPr>
            <w:tcW w:type="dxa" w:w="53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build image with this run's model, start container, call /predict and assert the response; push to GHCR on main</w:t>
            </w:r>
          </w:p>
        </w:tc>
        <w:tc>
          <w:tcPr>
            <w:tcW w:type="dxa" w:w="28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prediction JSON, container logs</w:t>
            </w:r>
          </w:p>
        </w:tc>
      </w:tr>
    </w:tbl>
    <w:p>
      <w:pPr>
        <w:spacing w:after="100"/>
      </w:pPr>
    </w:p>
    <w:p>
      <w:pPr>
        <w:spacing w:after="120" w:line="276"/>
        <w:jc w:val="both"/>
      </w:pPr>
      <w:r>
        <w:t xml:space="preserve">The workflow was validated with actionlint. Fail-fast behaviour was exercised during development: flake8 flagged three over-long lines, and a test caught a tuning grid whose first candidate was too heavily regularised to learn. Both were fixed before the code was finalised.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B7791F" w:sz="8"/>
              <w:left w:val="dashed" w:color="B7791F" w:sz="8"/>
              <w:bottom w:val="dashed" w:color="B7791F" w:sz="8"/>
              <w:right w:val="dashed" w:color="B7791F" w:sz="8"/>
            </w:tcBorders>
            <w:shd w:fill="FFFBEB" w:color="auto" w:val="clear"/>
            <w:tcMar>
              <w:top w:type="dxa" w:w="260"/>
              <w:left w:type="dxa" w:w="200"/>
              <w:bottom w:type="dxa" w:w="260"/>
              <w:right w:type="dxa" w:w="200"/>
            </w:tcMar>
          </w:tcPr>
          <w:p>
            <w:pPr>
              <w:jc w:val="center"/>
            </w:pPr>
            <w:r>
              <w:rPr>
                <w:b/>
                <w:bCs/>
                <w:color w:val="92400E"/>
                <w:sz w:val="19"/>
                <w:szCs w:val="19"/>
              </w:rPr>
              <w:t xml:space="preserve">[ INSERT SCREENSHOT ]  </w:t>
            </w:r>
            <w:r>
              <w:rPr>
                <w:color w:val="92400E"/>
                <w:sz w:val="19"/>
                <w:szCs w:val="19"/>
              </w:rPr>
              <w:t xml:space="preserve">GitHub Actions: successful workflow run showing lint → test → train → docker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B7791F" w:sz="8"/>
              <w:left w:val="dashed" w:color="B7791F" w:sz="8"/>
              <w:bottom w:val="dashed" w:color="B7791F" w:sz="8"/>
              <w:right w:val="dashed" w:color="B7791F" w:sz="8"/>
            </w:tcBorders>
            <w:shd w:fill="FFFBEB" w:color="auto" w:val="clear"/>
            <w:tcMar>
              <w:top w:type="dxa" w:w="260"/>
              <w:left w:type="dxa" w:w="200"/>
              <w:bottom w:type="dxa" w:w="260"/>
              <w:right w:type="dxa" w:w="200"/>
            </w:tcMar>
          </w:tcPr>
          <w:p>
            <w:pPr>
              <w:jc w:val="center"/>
            </w:pPr>
            <w:r>
              <w:rPr>
                <w:b/>
                <w:bCs/>
                <w:color w:val="92400E"/>
                <w:sz w:val="19"/>
                <w:szCs w:val="19"/>
              </w:rPr>
              <w:t xml:space="preserve">[ INSERT SCREENSHOT ]  </w:t>
            </w:r>
            <w:r>
              <w:rPr>
                <w:color w:val="92400E"/>
                <w:sz w:val="19"/>
                <w:szCs w:val="19"/>
              </w:rPr>
              <w:t xml:space="preserve">GitHub Actions: artifacts list for the run (test-report, model-and-experiments, container-smoke-test)</w:t>
            </w:r>
          </w:p>
        </w:tc>
      </w:tr>
    </w:tbl>
    <w:p>
      <w:pPr>
        <w:pStyle w:val="Heading1"/>
      </w:pPr>
      <w:r>
        <w:t xml:space="preserve">8. Model Containerisation</w:t>
      </w:r>
    </w:p>
    <w:p>
      <w:pPr>
        <w:spacing w:after="120" w:line="276"/>
        <w:jc w:val="both"/>
      </w:pPr>
      <w:r>
        <w:t xml:space="preserve">The service is a FastAPI application (</w:t>
      </w:r>
      <w:r>
        <w:rPr>
          <w:rFonts w:ascii="Consolas" w:cs="Consolas" w:eastAsia="Consolas" w:hAnsi="Consolas"/>
          <w:sz w:val="19"/>
          <w:szCs w:val="19"/>
        </w:rPr>
        <w:t xml:space="preserve">api/app.py</w:t>
      </w:r>
      <w:r>
        <w:t xml:space="preserve">) with Pydantic validation (</w:t>
      </w:r>
      <w:r>
        <w:rPr>
          <w:rFonts w:ascii="Consolas" w:cs="Consolas" w:eastAsia="Consolas" w:hAnsi="Consolas"/>
          <w:sz w:val="19"/>
          <w:szCs w:val="19"/>
        </w:rPr>
        <w:t xml:space="preserve">api/schemas.py</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Endpoint</w:t>
            </w:r>
          </w:p>
        </w:tc>
        <w:tc>
          <w:tcPr>
            <w:tcW w:type="dxa" w:w="7438"/>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Purpose</w:t>
            </w:r>
          </w:p>
        </w:tc>
      </w:tr>
      <w:tr>
        <w:tc>
          <w:tcPr>
            <w:tcW w:type="dxa" w:w="22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POST /predict</w:t>
            </w:r>
          </w:p>
        </w:tc>
        <w:tc>
          <w:tcPr>
            <w:tcW w:type="dxa" w:w="74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one patient object, or {"instances": [...]} for up to 500; returns prediction, label, confidence and P(disease)</w:t>
            </w:r>
          </w:p>
        </w:tc>
      </w:tr>
      <w:tr>
        <w:tc>
          <w:tcPr>
            <w:tcW w:type="dxa" w:w="22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GET /health</w:t>
            </w:r>
          </w:p>
        </w:tc>
        <w:tc>
          <w:tcPr>
            <w:tcW w:type="dxa" w:w="74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liveness probe</w:t>
            </w:r>
          </w:p>
        </w:tc>
      </w:tr>
      <w:tr>
        <w:tc>
          <w:tcPr>
            <w:tcW w:type="dxa" w:w="22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GET /ready</w:t>
            </w:r>
          </w:p>
        </w:tc>
        <w:tc>
          <w:tcPr>
            <w:tcW w:type="dxa" w:w="74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readiness probe; returns 503 until the model is loaded</w:t>
            </w:r>
          </w:p>
        </w:tc>
      </w:tr>
      <w:tr>
        <w:tc>
          <w:tcPr>
            <w:tcW w:type="dxa" w:w="22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GET /model-info</w:t>
            </w:r>
          </w:p>
        </w:tc>
        <w:tc>
          <w:tcPr>
            <w:tcW w:type="dxa" w:w="74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model family, version (MLflow run ID), threshold, metadata</w:t>
            </w:r>
          </w:p>
        </w:tc>
      </w:tr>
      <w:tr>
        <w:tc>
          <w:tcPr>
            <w:tcW w:type="dxa" w:w="22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GET /metrics</w:t>
            </w:r>
          </w:p>
        </w:tc>
        <w:tc>
          <w:tcPr>
            <w:tcW w:type="dxa" w:w="74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Prometheus exposition format</w:t>
            </w:r>
          </w:p>
        </w:tc>
      </w:tr>
    </w:tbl>
    <w:p>
      <w:pPr>
        <w:spacing w:after="100"/>
      </w:pPr>
    </w:p>
    <w:p>
      <w:pPr>
        <w:spacing w:after="120" w:line="276"/>
        <w:jc w:val="both"/>
      </w:pPr>
      <w:r>
        <w:t xml:space="preserve">Inputs are range-checked (for example age 1-120, cp ∈ {1,2,3,4}) and unknown fields are rejected, so malformed requests get a clear 422 response instead of a silent wrong prediction.</w:t>
      </w:r>
    </w:p>
    <w:p>
      <w:pPr>
        <w:shd w:fill="F3F4F6" w:color="auto" w:val="clear"/>
        <w:spacing w:after="0" w:before="60" w:line="240"/>
        <w:ind w:left="140" w:right="140"/>
      </w:pPr>
      <w:r>
        <w:rPr>
          <w:rFonts w:ascii="Consolas" w:cs="Consolas" w:eastAsia="Consolas" w:hAnsi="Consolas"/>
          <w:color w:val="1F2937"/>
          <w:sz w:val="17"/>
          <w:szCs w:val="17"/>
        </w:rPr>
        <w:t xml:space="preserve">$ curl -X POST localhost:8000/predict -H 'Content-Type: application/json' \</w:t>
      </w:r>
    </w:p>
    <w:p>
      <w:pPr>
        <w:shd w:fill="F3F4F6" w:color="auto" w:val="clear"/>
        <w:spacing w:after="0" w:before="0" w:line="240"/>
        <w:ind w:left="140" w:right="140"/>
      </w:pPr>
      <w:r>
        <w:rPr>
          <w:rFonts w:ascii="Consolas" w:cs="Consolas" w:eastAsia="Consolas" w:hAnsi="Consolas"/>
          <w:color w:val="1F2937"/>
          <w:sz w:val="17"/>
          <w:szCs w:val="17"/>
        </w:rPr>
        <w:t xml:space="preserve">    -d '{"age":67,"sex":1,"cp":4,"trestbps":160,"chol":286,"fbs":0,"restecg":2,</w:t>
      </w:r>
    </w:p>
    <w:p>
      <w:pPr>
        <w:shd w:fill="F3F4F6" w:color="auto" w:val="clear"/>
        <w:spacing w:after="0" w:before="0" w:line="240"/>
        <w:ind w:left="140" w:right="140"/>
      </w:pPr>
      <w:r>
        <w:rPr>
          <w:rFonts w:ascii="Consolas" w:cs="Consolas" w:eastAsia="Consolas" w:hAnsi="Consolas"/>
          <w:color w:val="1F2937"/>
          <w:sz w:val="17"/>
          <w:szCs w:val="17"/>
        </w:rPr>
        <w:t xml:space="preserve">         "thalach":108,"exang":1,"oldpeak":1.5,"slope":2,"ca":3,"thal":3}'</w:t>
      </w:r>
    </w:p>
    <w:p>
      <w:pPr>
        <w:shd w:fill="F3F4F6" w:color="auto" w:val="clear"/>
        <w:spacing w:after="0" w:before="0" w:line="240"/>
        <w:ind w:left="140" w:right="140"/>
      </w:pPr>
      <w:r>
        <w:rPr>
          <w:rFonts w:ascii="Consolas" w:cs="Consolas" w:eastAsia="Consolas" w:hAnsi="Consolas"/>
          <w:color w:val="1F2937"/>
          <w:sz w:val="17"/>
          <w:szCs w:val="17"/>
        </w:rPr>
        <w:t xml:space="preserve">{"model_name":"logistic_regression","model_version":"fc709b7b",</w:t>
      </w:r>
    </w:p>
    <w:p>
      <w:pPr>
        <w:shd w:fill="F3F4F6" w:color="auto" w:val="clear"/>
        <w:spacing w:after="0" w:before="0" w:line="240"/>
        <w:ind w:left="140" w:right="140"/>
      </w:pPr>
      <w:r>
        <w:rPr>
          <w:rFonts w:ascii="Consolas" w:cs="Consolas" w:eastAsia="Consolas" w:hAnsi="Consolas"/>
          <w:color w:val="1F2937"/>
          <w:sz w:val="17"/>
          <w:szCs w:val="17"/>
        </w:rPr>
        <w:t xml:space="preserve"> "predictions":[{"prediction":1,"label":"disease","confidence":0.9652,</w:t>
      </w:r>
    </w:p>
    <w:p>
      <w:pPr>
        <w:shd w:fill="F3F4F6" w:color="auto" w:val="clear"/>
        <w:spacing w:after="140" w:before="0" w:line="240"/>
        <w:ind w:left="140" w:right="140"/>
      </w:pPr>
      <w:r>
        <w:rPr>
          <w:rFonts w:ascii="Consolas" w:cs="Consolas" w:eastAsia="Consolas" w:hAnsi="Consolas"/>
          <w:color w:val="1F2937"/>
          <w:sz w:val="17"/>
          <w:szCs w:val="17"/>
        </w:rPr>
        <w:t xml:space="preserve">                  "probability_disease":0.9652}]}</w:t>
      </w:r>
    </w:p>
    <w:p>
      <w:pPr>
        <w:spacing w:after="120" w:line="276"/>
        <w:jc w:val="both"/>
      </w:pPr>
      <w:r>
        <w:t xml:space="preserve">The </w:t>
      </w:r>
      <w:r>
        <w:rPr>
          <w:rFonts w:ascii="Consolas" w:cs="Consolas" w:eastAsia="Consolas" w:hAnsi="Consolas"/>
          <w:sz w:val="19"/>
          <w:szCs w:val="19"/>
        </w:rPr>
        <w:t xml:space="preserve">Dockerfile</w:t>
      </w:r>
      <w:r>
        <w:t xml:space="preserve"> is a two-stage build on python:3.13-slim. The first stage installs only the serving requirements into a virtualenv; the runtime stage copies that virtualenv, the source and the model, runs as a non-root user (uid 1001), and defines a HEALTHCHECK on /health. A single uvicorn worker runs per container because Prometheus counters live in process memory; horizontal scaling is done with Kubernetes replicas instead.</w:t>
      </w:r>
    </w:p>
    <w:p>
      <w:pPr>
        <w:shd w:fill="F3F4F6" w:color="auto" w:val="clear"/>
        <w:spacing w:after="0" w:before="60" w:line="240"/>
        <w:ind w:left="140" w:right="140"/>
      </w:pPr>
      <w:r>
        <w:rPr>
          <w:rFonts w:ascii="Consolas" w:cs="Consolas" w:eastAsia="Consolas" w:hAnsi="Consolas"/>
          <w:color w:val="1F2937"/>
          <w:sz w:val="17"/>
          <w:szCs w:val="17"/>
        </w:rPr>
        <w:t xml:space="preserve">docker build -t heart-risk-api:1.0.0 .</w:t>
      </w:r>
    </w:p>
    <w:p>
      <w:pPr>
        <w:shd w:fill="F3F4F6" w:color="auto" w:val="clear"/>
        <w:spacing w:after="0" w:before="0" w:line="240"/>
        <w:ind w:left="140" w:right="140"/>
      </w:pPr>
      <w:r>
        <w:rPr>
          <w:rFonts w:ascii="Consolas" w:cs="Consolas" w:eastAsia="Consolas" w:hAnsi="Consolas"/>
          <w:color w:val="1F2937"/>
          <w:sz w:val="17"/>
          <w:szCs w:val="17"/>
        </w:rPr>
        <w:t xml:space="preserve">docker run --rm -p 8000:8000 heart-risk-api:1.0.0</w:t>
      </w:r>
    </w:p>
    <w:p>
      <w:pPr>
        <w:shd w:fill="F3F4F6" w:color="auto" w:val="clear"/>
        <w:spacing w:after="140" w:before="0" w:line="240"/>
        <w:ind w:left="140" w:right="140"/>
      </w:pPr>
      <w:r>
        <w:rPr>
          <w:rFonts w:ascii="Consolas" w:cs="Consolas" w:eastAsia="Consolas" w:hAnsi="Consolas"/>
          <w:color w:val="1F2937"/>
          <w:sz w:val="17"/>
          <w:szCs w:val="17"/>
        </w:rPr>
        <w:t xml:space="preserve">./scripts/smoke_test.sh http://localhost:8000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B7791F" w:sz="8"/>
              <w:left w:val="dashed" w:color="B7791F" w:sz="8"/>
              <w:bottom w:val="dashed" w:color="B7791F" w:sz="8"/>
              <w:right w:val="dashed" w:color="B7791F" w:sz="8"/>
            </w:tcBorders>
            <w:shd w:fill="FFFBEB" w:color="auto" w:val="clear"/>
            <w:tcMar>
              <w:top w:type="dxa" w:w="260"/>
              <w:left w:type="dxa" w:w="200"/>
              <w:bottom w:type="dxa" w:w="260"/>
              <w:right w:type="dxa" w:w="200"/>
            </w:tcMar>
          </w:tcPr>
          <w:p>
            <w:pPr>
              <w:jc w:val="center"/>
            </w:pPr>
            <w:r>
              <w:rPr>
                <w:b/>
                <w:bCs/>
                <w:color w:val="92400E"/>
                <w:sz w:val="19"/>
                <w:szCs w:val="19"/>
              </w:rPr>
              <w:t xml:space="preserve">[ INSERT SCREENSHOT ]  </w:t>
            </w:r>
            <w:r>
              <w:rPr>
                <w:color w:val="92400E"/>
                <w:sz w:val="19"/>
                <w:szCs w:val="19"/>
              </w:rPr>
              <w:t xml:space="preserve">Terminal: docker build output and docker ps showing the container (healthy)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B7791F" w:sz="8"/>
              <w:left w:val="dashed" w:color="B7791F" w:sz="8"/>
              <w:bottom w:val="dashed" w:color="B7791F" w:sz="8"/>
              <w:right w:val="dashed" w:color="B7791F" w:sz="8"/>
            </w:tcBorders>
            <w:shd w:fill="FFFBEB" w:color="auto" w:val="clear"/>
            <w:tcMar>
              <w:top w:type="dxa" w:w="260"/>
              <w:left w:type="dxa" w:w="200"/>
              <w:bottom w:type="dxa" w:w="260"/>
              <w:right w:type="dxa" w:w="200"/>
            </w:tcMar>
          </w:tcPr>
          <w:p>
            <w:pPr>
              <w:jc w:val="center"/>
            </w:pPr>
            <w:r>
              <w:rPr>
                <w:b/>
                <w:bCs/>
                <w:color w:val="92400E"/>
                <w:sz w:val="19"/>
                <w:szCs w:val="19"/>
              </w:rPr>
              <w:t xml:space="preserve">[ INSERT SCREENSHOT ]  </w:t>
            </w:r>
            <w:r>
              <w:rPr>
                <w:color w:val="92400E"/>
                <w:sz w:val="19"/>
                <w:szCs w:val="19"/>
              </w:rPr>
              <w:t xml:space="preserve">Terminal: ./scripts/smoke_test.sh output against the container</w:t>
            </w:r>
          </w:p>
        </w:tc>
      </w:tr>
    </w:tbl>
    <w:p>
      <w:pPr>
        <w:pStyle w:val="Heading1"/>
      </w:pPr>
      <w:r>
        <w:t xml:space="preserve">9. Production Deployment on Kubernetes (Minikube)</w:t>
      </w:r>
    </w:p>
    <w:p>
      <w:pPr>
        <w:spacing w:after="120" w:line="276"/>
        <w:jc w:val="both"/>
      </w:pPr>
      <w:r>
        <w:t xml:space="preserve">The manifests in </w:t>
      </w:r>
      <w:r>
        <w:rPr>
          <w:rFonts w:ascii="Consolas" w:cs="Consolas" w:eastAsia="Consolas" w:hAnsi="Consolas"/>
          <w:sz w:val="19"/>
          <w:szCs w:val="19"/>
        </w:rPr>
        <w:t xml:space="preserve">k8s/</w:t>
      </w:r>
      <w:r>
        <w:t xml:space="preserve"> are applied together with Kustomize (</w:t>
      </w:r>
      <w:r>
        <w:rPr>
          <w:rFonts w:ascii="Consolas" w:cs="Consolas" w:eastAsia="Consolas" w:hAnsi="Consolas"/>
          <w:sz w:val="19"/>
          <w:szCs w:val="19"/>
        </w:rPr>
        <w:t xml:space="preserve">kubectl apply -k k8s/</w:t>
      </w:r>
      <w:r>
        <w:t xml:space="preserve">) and were schema-validated against Kubernetes 1.33: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Resource</w:t>
            </w:r>
          </w:p>
        </w:tc>
        <w:tc>
          <w:tcPr>
            <w:tcW w:type="dxa" w:w="7038"/>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Configuration</w:t>
            </w:r>
          </w:p>
        </w:tc>
      </w:tr>
      <w:tr>
        <w:tc>
          <w:tcPr>
            <w:tcW w:type="dxa" w:w="26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Namespace</w:t>
            </w:r>
          </w:p>
        </w:tc>
        <w:tc>
          <w:tcPr>
            <w:tcW w:type="dxa" w:w="70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heart-mlops</w:t>
            </w:r>
          </w:p>
        </w:tc>
      </w:tr>
      <w:tr>
        <w:tc>
          <w:tcPr>
            <w:tcW w:type="dxa" w:w="26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Deployment heart-api</w:t>
            </w:r>
          </w:p>
        </w:tc>
        <w:tc>
          <w:tcPr>
            <w:tcW w:type="dxa" w:w="70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2 replicas, rolling update (maxUnavailable 0), CPU/memory requests and limits, readiness probe on /ready, liveness probe on /health, non-root, Prometheus scrape annotations</w:t>
            </w:r>
          </w:p>
        </w:tc>
      </w:tr>
      <w:tr>
        <w:tc>
          <w:tcPr>
            <w:tcW w:type="dxa" w:w="26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Service (LoadBalancer)</w:t>
            </w:r>
          </w:p>
        </w:tc>
        <w:tc>
          <w:tcPr>
            <w:tcW w:type="dxa" w:w="70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port 80 → 8000; external IP via minikube tunnel</w:t>
            </w:r>
          </w:p>
        </w:tc>
      </w:tr>
      <w:tr>
        <w:tc>
          <w:tcPr>
            <w:tcW w:type="dxa" w:w="26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Ingress (nginx)</w:t>
            </w:r>
          </w:p>
        </w:tc>
        <w:tc>
          <w:tcPr>
            <w:tcW w:type="dxa" w:w="70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host heart-api.local → service</w:t>
            </w:r>
          </w:p>
        </w:tc>
      </w:tr>
      <w:tr>
        <w:tc>
          <w:tcPr>
            <w:tcW w:type="dxa" w:w="26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HorizontalPodAutoscaler</w:t>
            </w:r>
          </w:p>
        </w:tc>
        <w:tc>
          <w:tcPr>
            <w:tcW w:type="dxa" w:w="70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2-5 replicas at 70% CPU</w:t>
            </w:r>
          </w:p>
        </w:tc>
      </w:tr>
      <w:tr>
        <w:tc>
          <w:tcPr>
            <w:tcW w:type="dxa" w:w="26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Prometheus</w:t>
            </w:r>
          </w:p>
        </w:tc>
        <w:tc>
          <w:tcPr>
            <w:tcW w:type="dxa" w:w="70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ServiceAccount + Role for pod discovery, ConfigMap, Deployment, NodePort 30090</w:t>
            </w:r>
          </w:p>
        </w:tc>
      </w:tr>
      <w:tr>
        <w:tc>
          <w:tcPr>
            <w:tcW w:type="dxa" w:w="26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Grafana</w:t>
            </w:r>
          </w:p>
        </w:tc>
        <w:tc>
          <w:tcPr>
            <w:tcW w:type="dxa" w:w="70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provisioned datasource and dashboard from ConfigMaps, NodePort 30300</w:t>
            </w:r>
          </w:p>
        </w:tc>
      </w:tr>
    </w:tbl>
    <w:p>
      <w:pPr>
        <w:spacing w:after="100"/>
      </w:pPr>
    </w:p>
    <w:p>
      <w:pPr>
        <w:spacing w:after="120" w:line="276"/>
        <w:jc w:val="both"/>
      </w:pPr>
      <w:r>
        <w:t xml:space="preserve">The script </w:t>
      </w:r>
      <w:r>
        <w:rPr>
          <w:rFonts w:ascii="Consolas" w:cs="Consolas" w:eastAsia="Consolas" w:hAnsi="Consolas"/>
          <w:sz w:val="19"/>
          <w:szCs w:val="19"/>
        </w:rPr>
        <w:t xml:space="preserve">scripts/deploy_minikube.sh</w:t>
      </w:r>
      <w:r>
        <w:t xml:space="preserve"> starts Minikube, enables the ingress and metrics-server add-ons, builds the image directly inside Minikube's Docker daemon (so no registry is needed), applies the manifests and waits for the rollout.</w:t>
      </w:r>
    </w:p>
    <w:p>
      <w:pPr>
        <w:shd w:fill="F3F4F6" w:color="auto" w:val="clear"/>
        <w:spacing w:after="0" w:before="60" w:line="240"/>
        <w:ind w:left="140" w:right="140"/>
      </w:pPr>
      <w:r>
        <w:rPr>
          <w:rFonts w:ascii="Consolas" w:cs="Consolas" w:eastAsia="Consolas" w:hAnsi="Consolas"/>
          <w:color w:val="1F2937"/>
          <w:sz w:val="17"/>
          <w:szCs w:val="17"/>
        </w:rPr>
        <w:t xml:space="preserve">./scripts/deploy_minikube.sh</w:t>
      </w:r>
    </w:p>
    <w:p>
      <w:pPr>
        <w:shd w:fill="F3F4F6" w:color="auto" w:val="clear"/>
        <w:spacing w:after="0" w:before="0" w:line="240"/>
        <w:ind w:left="140" w:right="140"/>
      </w:pPr>
      <w:r>
        <w:rPr>
          <w:rFonts w:ascii="Consolas" w:cs="Consolas" w:eastAsia="Consolas" w:hAnsi="Consolas"/>
          <w:color w:val="1F2937"/>
          <w:sz w:val="17"/>
          <w:szCs w:val="17"/>
        </w:rPr>
        <w:t xml:space="preserve">minikube tunnel                              # second terminal</w:t>
      </w:r>
    </w:p>
    <w:p>
      <w:pPr>
        <w:shd w:fill="F3F4F6" w:color="auto" w:val="clear"/>
        <w:spacing w:after="0" w:before="0" w:line="240"/>
        <w:ind w:left="140" w:right="140"/>
      </w:pPr>
      <w:r>
        <w:rPr>
          <w:rFonts w:ascii="Consolas" w:cs="Consolas" w:eastAsia="Consolas" w:hAnsi="Consolas"/>
          <w:color w:val="1F2937"/>
          <w:sz w:val="17"/>
          <w:szCs w:val="17"/>
        </w:rPr>
        <w:t xml:space="preserve">kubectl -n heart-mlops get pods,svc,ingress,hpa</w:t>
      </w:r>
    </w:p>
    <w:p>
      <w:pPr>
        <w:shd w:fill="F3F4F6" w:color="auto" w:val="clear"/>
        <w:spacing w:after="0" w:before="0" w:line="240"/>
        <w:ind w:left="140" w:right="140"/>
      </w:pPr>
      <w:r>
        <w:rPr>
          <w:rFonts w:ascii="Consolas" w:cs="Consolas" w:eastAsia="Consolas" w:hAnsi="Consolas"/>
          <w:color w:val="1F2937"/>
          <w:sz w:val="17"/>
          <w:szCs w:val="17"/>
        </w:rPr>
        <w:t xml:space="preserve">./scripts/smoke_test.sh http://&lt;EXTERNAL-IP&gt;</w:t>
      </w:r>
    </w:p>
    <w:p>
      <w:pPr>
        <w:shd w:fill="F3F4F6" w:color="auto" w:val="clear"/>
        <w:spacing w:after="140" w:before="0" w:line="240"/>
        <w:ind w:left="140" w:right="140"/>
      </w:pPr>
      <w:r>
        <w:rPr>
          <w:rFonts w:ascii="Consolas" w:cs="Consolas" w:eastAsia="Consolas" w:hAnsi="Consolas"/>
          <w:color w:val="1F2937"/>
          <w:sz w:val="17"/>
          <w:szCs w:val="17"/>
        </w:rPr>
        <w:t xml:space="preserve">curl http://heart-api.local/health          # after adding minikube ip to /etc/hosts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B7791F" w:sz="8"/>
              <w:left w:val="dashed" w:color="B7791F" w:sz="8"/>
              <w:bottom w:val="dashed" w:color="B7791F" w:sz="8"/>
              <w:right w:val="dashed" w:color="B7791F" w:sz="8"/>
            </w:tcBorders>
            <w:shd w:fill="FFFBEB" w:color="auto" w:val="clear"/>
            <w:tcMar>
              <w:top w:type="dxa" w:w="260"/>
              <w:left w:type="dxa" w:w="200"/>
              <w:bottom w:type="dxa" w:w="260"/>
              <w:right w:type="dxa" w:w="200"/>
            </w:tcMar>
          </w:tcPr>
          <w:p>
            <w:pPr>
              <w:jc w:val="center"/>
            </w:pPr>
            <w:r>
              <w:rPr>
                <w:b/>
                <w:bCs/>
                <w:color w:val="92400E"/>
                <w:sz w:val="19"/>
                <w:szCs w:val="19"/>
              </w:rPr>
              <w:t xml:space="preserve">[ INSERT SCREENSHOT ]  </w:t>
            </w:r>
            <w:r>
              <w:rPr>
                <w:color w:val="92400E"/>
                <w:sz w:val="19"/>
                <w:szCs w:val="19"/>
              </w:rPr>
              <w:t xml:space="preserve">kubectl -n heart-mlops get pods,svc,ingress,hpa (pods Running, LoadBalancer EXTERNAL-IP)</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B7791F" w:sz="8"/>
              <w:left w:val="dashed" w:color="B7791F" w:sz="8"/>
              <w:bottom w:val="dashed" w:color="B7791F" w:sz="8"/>
              <w:right w:val="dashed" w:color="B7791F" w:sz="8"/>
            </w:tcBorders>
            <w:shd w:fill="FFFBEB" w:color="auto" w:val="clear"/>
            <w:tcMar>
              <w:top w:type="dxa" w:w="260"/>
              <w:left w:type="dxa" w:w="200"/>
              <w:bottom w:type="dxa" w:w="260"/>
              <w:right w:type="dxa" w:w="200"/>
            </w:tcMar>
          </w:tcPr>
          <w:p>
            <w:pPr>
              <w:jc w:val="center"/>
            </w:pPr>
            <w:r>
              <w:rPr>
                <w:b/>
                <w:bCs/>
                <w:color w:val="92400E"/>
                <w:sz w:val="19"/>
                <w:szCs w:val="19"/>
              </w:rPr>
              <w:t xml:space="preserve">[ INSERT SCREENSHOT ]  </w:t>
            </w:r>
            <w:r>
              <w:rPr>
                <w:color w:val="92400E"/>
                <w:sz w:val="19"/>
                <w:szCs w:val="19"/>
              </w:rPr>
              <w:t xml:space="preserve">curl /predict through the LoadBalancer IP and through heart-api.local (Ingress)</w:t>
            </w:r>
          </w:p>
        </w:tc>
      </w:tr>
    </w:tbl>
    <w:p>
      <w:pPr>
        <w:pStyle w:val="Heading1"/>
      </w:pPr>
      <w:r>
        <w:t xml:space="preserve">10. Monitoring and Logging</w:t>
      </w:r>
    </w:p>
    <w:p>
      <w:pPr>
        <w:spacing w:after="120" w:line="276"/>
        <w:jc w:val="both"/>
      </w:pPr>
      <w:r>
        <w:rPr>
          <w:b/>
          <w:bCs/>
        </w:rPr>
        <w:t xml:space="preserve">Logging. </w:t>
      </w:r>
      <w:r>
        <w:t xml:space="preserve">A middleware writes one structured JSON log line per request (request ID, method, path, status, latency, client) and the endpoint writes one line per prediction (labels and probabilities). The request ID is returned in the x-request-id header so a client report can be traced to its log line. In Kubernetes these logs are read with kubectl logs.</w:t>
      </w:r>
    </w:p>
    <w:p>
      <w:pPr>
        <w:shd w:fill="F3F4F6" w:color="auto" w:val="clear"/>
        <w:spacing w:after="0" w:before="60" w:line="240"/>
        <w:ind w:left="140" w:right="140"/>
      </w:pPr>
      <w:r>
        <w:rPr>
          <w:rFonts w:ascii="Consolas" w:cs="Consolas" w:eastAsia="Consolas" w:hAnsi="Consolas"/>
          <w:color w:val="1F2937"/>
          <w:sz w:val="17"/>
          <w:szCs w:val="17"/>
        </w:rPr>
        <w:t xml:space="preserve">{"ts": "2026-10-18T13:04:54", "level": "INFO", "msg": "request", "request_id": "31a70b3fd99a",</w:t>
      </w:r>
    </w:p>
    <w:p>
      <w:pPr>
        <w:shd w:fill="F3F4F6" w:color="auto" w:val="clear"/>
        <w:spacing w:after="140" w:before="0" w:line="240"/>
        <w:ind w:left="140" w:right="140"/>
      </w:pPr>
      <w:r>
        <w:rPr>
          <w:rFonts w:ascii="Consolas" w:cs="Consolas" w:eastAsia="Consolas" w:hAnsi="Consolas"/>
          <w:color w:val="1F2937"/>
          <w:sz w:val="17"/>
          <w:szCs w:val="17"/>
        </w:rPr>
        <w:t xml:space="preserve"> "method": "POST", "path": "/predict", "status": 200, "latency_ms": 23.77}</w:t>
      </w:r>
    </w:p>
    <w:p>
      <w:pPr>
        <w:spacing w:after="120" w:line="276"/>
        <w:jc w:val="both"/>
      </w:pPr>
      <w:r>
        <w:rPr>
          <w:b/>
          <w:bCs/>
        </w:rPr>
        <w:t xml:space="preserve">Metrics. </w:t>
      </w:r>
      <w:r>
        <w:t xml:space="preserve">Prometheus scrapes every pod every 10 seconds: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4238"/>
      </w:tblGrid>
      <w:tr>
        <w:trPr>
          <w:tblHeader/>
        </w:trPr>
        <w:tc>
          <w:tcPr>
            <w:tcW w:type="dxa" w:w="4000"/>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Metric</w:t>
            </w:r>
          </w:p>
        </w:tc>
        <w:tc>
          <w:tcPr>
            <w:tcW w:type="dxa" w:w="1400"/>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Type</w:t>
            </w:r>
          </w:p>
        </w:tc>
        <w:tc>
          <w:tcPr>
            <w:tcW w:type="dxa" w:w="4238"/>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Used for</w:t>
            </w:r>
          </w:p>
        </w:tc>
      </w:tr>
      <w:tr>
        <w:tc>
          <w:tcPr>
            <w:tcW w:type="dxa" w:w="40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api_requests_total{endpoint,status}</w:t>
            </w:r>
          </w:p>
        </w:tc>
        <w:tc>
          <w:tcPr>
            <w:tcW w:type="dxa" w:w="14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counter</w:t>
            </w:r>
          </w:p>
        </w:tc>
        <w:tc>
          <w:tcPr>
            <w:tcW w:type="dxa" w:w="42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traffic and error ratio</w:t>
            </w:r>
          </w:p>
        </w:tc>
      </w:tr>
      <w:tr>
        <w:tc>
          <w:tcPr>
            <w:tcW w:type="dxa" w:w="40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api_request_latency_seconds</w:t>
            </w:r>
          </w:p>
        </w:tc>
        <w:tc>
          <w:tcPr>
            <w:tcW w:type="dxa" w:w="14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histogram</w:t>
            </w:r>
          </w:p>
        </w:tc>
        <w:tc>
          <w:tcPr>
            <w:tcW w:type="dxa" w:w="42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p50 / p95 / p99 latency</w:t>
            </w:r>
          </w:p>
        </w:tc>
      </w:tr>
      <w:tr>
        <w:tc>
          <w:tcPr>
            <w:tcW w:type="dxa" w:w="40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model_predictions_total{label}</w:t>
            </w:r>
          </w:p>
        </w:tc>
        <w:tc>
          <w:tcPr>
            <w:tcW w:type="dxa" w:w="14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counter</w:t>
            </w:r>
          </w:p>
        </w:tc>
        <w:tc>
          <w:tcPr>
            <w:tcW w:type="dxa" w:w="42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prediction mix over time</w:t>
            </w:r>
          </w:p>
        </w:tc>
      </w:tr>
      <w:tr>
        <w:tc>
          <w:tcPr>
            <w:tcW w:type="dxa" w:w="40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model_prediction_confidence</w:t>
            </w:r>
          </w:p>
        </w:tc>
        <w:tc>
          <w:tcPr>
            <w:tcW w:type="dxa" w:w="14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histogram</w:t>
            </w:r>
          </w:p>
        </w:tc>
        <w:tc>
          <w:tcPr>
            <w:tcW w:type="dxa" w:w="42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mean confidence</w:t>
            </w:r>
          </w:p>
        </w:tc>
      </w:tr>
      <w:tr>
        <w:tc>
          <w:tcPr>
            <w:tcW w:type="dxa" w:w="40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model_probability_disease</w:t>
            </w:r>
          </w:p>
        </w:tc>
        <w:tc>
          <w:tcPr>
            <w:tcW w:type="dxa" w:w="14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histogram</w:t>
            </w:r>
          </w:p>
        </w:tc>
        <w:tc>
          <w:tcPr>
            <w:tcW w:type="dxa" w:w="42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score distribution (drift signal)</w:t>
            </w:r>
          </w:p>
        </w:tc>
      </w:tr>
      <w:tr>
        <w:tc>
          <w:tcPr>
            <w:tcW w:type="dxa" w:w="40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model_loaded{model_name,version}</w:t>
            </w:r>
          </w:p>
        </w:tc>
        <w:tc>
          <w:tcPr>
            <w:tcW w:type="dxa" w:w="14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gauge</w:t>
            </w:r>
          </w:p>
        </w:tc>
        <w:tc>
          <w:tcPr>
            <w:tcW w:type="dxa" w:w="42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which model version is live</w:t>
            </w:r>
          </w:p>
        </w:tc>
      </w:tr>
    </w:tbl>
    <w:p>
      <w:pPr>
        <w:spacing w:after="100"/>
      </w:pPr>
    </w:p>
    <w:p>
      <w:pPr>
        <w:spacing w:after="120" w:line="276"/>
        <w:jc w:val="both"/>
      </w:pPr>
      <w:r>
        <w:t xml:space="preserve">The Grafana dashboard (provisioned automatically from </w:t>
      </w:r>
      <w:r>
        <w:rPr>
          <w:rFonts w:ascii="Consolas" w:cs="Consolas" w:eastAsia="Consolas" w:hAnsi="Consolas"/>
          <w:sz w:val="19"/>
          <w:szCs w:val="19"/>
        </w:rPr>
        <w:t xml:space="preserve">monitoring/grafana/dashboards/heart-api.json</w:t>
      </w:r>
      <w:r>
        <w:t xml:space="preserve">) has stat panels for total predictions, request rate, p95 latency and error ratio, plus time series for requests by endpoint and status, latency percentiles, predictions by label, and mean confidence / mean P(disease). A sudden shift in the share of "disease" predictions or in mean confidence is a cheap early indicator of input drift. </w:t>
      </w:r>
      <w:r>
        <w:rPr>
          <w:rFonts w:ascii="Consolas" w:cs="Consolas" w:eastAsia="Consolas" w:hAnsi="Consolas"/>
          <w:sz w:val="19"/>
          <w:szCs w:val="19"/>
        </w:rPr>
        <w:t xml:space="preserve">scripts/load_test.py</w:t>
      </w:r>
      <w:r>
        <w:t xml:space="preserve"> replays dataset rows (5% deliberately invalid) to populate the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B7791F" w:sz="8"/>
              <w:left w:val="dashed" w:color="B7791F" w:sz="8"/>
              <w:bottom w:val="dashed" w:color="B7791F" w:sz="8"/>
              <w:right w:val="dashed" w:color="B7791F" w:sz="8"/>
            </w:tcBorders>
            <w:shd w:fill="FFFBEB" w:color="auto" w:val="clear"/>
            <w:tcMar>
              <w:top w:type="dxa" w:w="260"/>
              <w:left w:type="dxa" w:w="200"/>
              <w:bottom w:type="dxa" w:w="260"/>
              <w:right w:type="dxa" w:w="200"/>
            </w:tcMar>
          </w:tcPr>
          <w:p>
            <w:pPr>
              <w:jc w:val="center"/>
            </w:pPr>
            <w:r>
              <w:rPr>
                <w:b/>
                <w:bCs/>
                <w:color w:val="92400E"/>
                <w:sz w:val="19"/>
                <w:szCs w:val="19"/>
              </w:rPr>
              <w:t xml:space="preserve">[ INSERT SCREENSHOT ]  </w:t>
            </w:r>
            <w:r>
              <w:rPr>
                <w:color w:val="92400E"/>
                <w:sz w:val="19"/>
                <w:szCs w:val="19"/>
              </w:rPr>
              <w:t xml:space="preserve">Grafana: Heart Disease API dashboard after running load_test.py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B7791F" w:sz="8"/>
              <w:left w:val="dashed" w:color="B7791F" w:sz="8"/>
              <w:bottom w:val="dashed" w:color="B7791F" w:sz="8"/>
              <w:right w:val="dashed" w:color="B7791F" w:sz="8"/>
            </w:tcBorders>
            <w:shd w:fill="FFFBEB" w:color="auto" w:val="clear"/>
            <w:tcMar>
              <w:top w:type="dxa" w:w="260"/>
              <w:left w:type="dxa" w:w="200"/>
              <w:bottom w:type="dxa" w:w="260"/>
              <w:right w:type="dxa" w:w="200"/>
            </w:tcMar>
          </w:tcPr>
          <w:p>
            <w:pPr>
              <w:jc w:val="center"/>
            </w:pPr>
            <w:r>
              <w:rPr>
                <w:b/>
                <w:bCs/>
                <w:color w:val="92400E"/>
                <w:sz w:val="19"/>
                <w:szCs w:val="19"/>
              </w:rPr>
              <w:t xml:space="preserve">[ INSERT SCREENSHOT ]  </w:t>
            </w:r>
            <w:r>
              <w:rPr>
                <w:color w:val="92400E"/>
                <w:sz w:val="19"/>
                <w:szCs w:val="19"/>
              </w:rPr>
              <w:t xml:space="preserve">Prometheus: Status → Targets showing both heart-api pods UP</w:t>
            </w:r>
          </w:p>
        </w:tc>
      </w:tr>
    </w:tbl>
    <w:p>
      <w:pPr>
        <w:pStyle w:val="Heading1"/>
      </w:pPr>
      <w:r>
        <w:t xml:space="preserve">11. Limitations and Future Work</w:t>
      </w:r>
    </w:p>
    <w:p>
      <w:pPr>
        <w:pStyle w:val="ListParagraph"/>
        <w:numPr>
          <w:ilvl w:val="0"/>
          <w:numId w:val="2"/>
        </w:numPr>
        <w:spacing w:after="60" w:line="264"/>
      </w:pPr>
      <w:r>
        <w:t xml:space="preserve">The Cleveland dataset is small (302 patients) and from a single centre in the 1980s; the CV spread of ±0.04 AUC shows how uncertain any single number is. Validation on the Hungarian, Swiss and VA subsets would test generalisation.</w:t>
      </w:r>
    </w:p>
    <w:p>
      <w:pPr>
        <w:pStyle w:val="ListParagraph"/>
        <w:numPr>
          <w:ilvl w:val="0"/>
          <w:numId w:val="2"/>
        </w:numPr>
        <w:spacing w:after="60" w:line="264"/>
      </w:pPr>
      <w:r>
        <w:t xml:space="preserve">The 0.5 threshold optimises accuracy; for screening, a lower threshold chosen on CV to reach a target recall would be more appropriate and only requires changing DECISION_THRESHOLD.</w:t>
      </w:r>
    </w:p>
    <w:p>
      <w:pPr>
        <w:pStyle w:val="ListParagraph"/>
        <w:numPr>
          <w:ilvl w:val="0"/>
          <w:numId w:val="2"/>
        </w:numPr>
        <w:spacing w:after="60" w:line="264"/>
      </w:pPr>
      <w:r>
        <w:t xml:space="preserve">Monitoring tracks output distributions; adding per-feature input drift statistics (for example a population stability index) and alerting rules in Prometheus would complete the loop.</w:t>
      </w:r>
    </w:p>
    <w:p>
      <w:pPr>
        <w:pStyle w:val="ListParagraph"/>
        <w:numPr>
          <w:ilvl w:val="0"/>
          <w:numId w:val="2"/>
        </w:numPr>
        <w:spacing w:after="60" w:line="264"/>
      </w:pPr>
      <w:r>
        <w:t xml:space="preserve">The model is baked into the image for reproducibility; pulling the registered model from an MLflow server at start-up would allow model updates without rebuilding the image.</w:t>
      </w:r>
    </w:p>
    <w:p>
      <w:pPr>
        <w:pStyle w:val="Heading1"/>
      </w:pPr>
      <w:r>
        <w:t xml:space="preserve">12. Deliverables and Links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Deliverable</w:t>
            </w:r>
          </w:p>
        </w:tc>
        <w:tc>
          <w:tcPr>
            <w:tcW w:type="dxa" w:w="6438"/>
            <w:tcBorders>
              <w:top w:val="single" w:color="CBD5E0" w:sz="4"/>
              <w:left w:val="single" w:color="CBD5E0" w:sz="4"/>
              <w:bottom w:val="single" w:color="CBD5E0" w:sz="4"/>
              <w:right w:val="single" w:color="CBD5E0" w:sz="4"/>
            </w:tcBorders>
            <w:shd w:fill="1E3A5F" w:color="auto" w:val="clear"/>
            <w:tcMar>
              <w:top w:type="dxa" w:w="60"/>
              <w:left w:type="dxa" w:w="90"/>
              <w:bottom w:type="dxa" w:w="60"/>
              <w:right w:type="dxa" w:w="90"/>
            </w:tcMar>
          </w:tcPr>
          <w:p>
            <w:pPr>
              <w:jc w:val="left"/>
            </w:pPr>
            <w:r>
              <w:rPr>
                <w:b/>
                <w:bCs/>
                <w:color w:val="FFFFFF"/>
                <w:sz w:val="18"/>
                <w:szCs w:val="18"/>
              </w:rPr>
              <w:t xml:space="preserve">Location</w:t>
            </w:r>
          </w:p>
        </w:tc>
      </w:tr>
      <w:tr>
        <w:tc>
          <w:tcPr>
            <w:tcW w:type="dxa" w:w="32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Code repository</w:t>
            </w:r>
          </w:p>
        </w:tc>
        <w:tc>
          <w:tcPr>
            <w:tcW w:type="dxa" w:w="64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https://github.com/&lt;your-username&gt;/heart-risk-mlops</w:t>
            </w:r>
          </w:p>
        </w:tc>
      </w:tr>
      <w:tr>
        <w:tc>
          <w:tcPr>
            <w:tcW w:type="dxa" w:w="32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Download script / instructions</w:t>
            </w:r>
          </w:p>
        </w:tc>
        <w:tc>
          <w:tcPr>
            <w:tcW w:type="dxa" w:w="64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src/heart/data.py, scripts/download_data.sh, README §2</w:t>
            </w:r>
          </w:p>
        </w:tc>
      </w:tr>
      <w:tr>
        <w:tc>
          <w:tcPr>
            <w:tcW w:type="dxa" w:w="32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Cleaned dataset</w:t>
            </w:r>
          </w:p>
        </w:tc>
        <w:tc>
          <w:tcPr>
            <w:tcW w:type="dxa" w:w="64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data/processed/heart_clean.csv</w:t>
            </w:r>
          </w:p>
        </w:tc>
      </w:tr>
      <w:tr>
        <w:tc>
          <w:tcPr>
            <w:tcW w:type="dxa" w:w="32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Notebooks</w:t>
            </w:r>
          </w:p>
        </w:tc>
        <w:tc>
          <w:tcPr>
            <w:tcW w:type="dxa" w:w="64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notebooks/01_eda, 02_training_and_tracking, 03_inference</w:t>
            </w:r>
          </w:p>
        </w:tc>
      </w:tr>
      <w:tr>
        <w:tc>
          <w:tcPr>
            <w:tcW w:type="dxa" w:w="32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Unit tests</w:t>
            </w:r>
          </w:p>
        </w:tc>
        <w:tc>
          <w:tcPr>
            <w:tcW w:type="dxa" w:w="64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tests/ (32 tests)</w:t>
            </w:r>
          </w:p>
        </w:tc>
      </w:tr>
      <w:tr>
        <w:tc>
          <w:tcPr>
            <w:tcW w:type="dxa" w:w="32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CI/CD workflow</w:t>
            </w:r>
          </w:p>
        </w:tc>
        <w:tc>
          <w:tcPr>
            <w:tcW w:type="dxa" w:w="64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.github/workflows/ci.yml</w:t>
            </w:r>
          </w:p>
        </w:tc>
      </w:tr>
      <w:tr>
        <w:tc>
          <w:tcPr>
            <w:tcW w:type="dxa" w:w="32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Dockerfile and requirements</w:t>
            </w:r>
          </w:p>
        </w:tc>
        <w:tc>
          <w:tcPr>
            <w:tcW w:type="dxa" w:w="64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Dockerfile, requirements.txt, requirements-serve.txt, environment.yml</w:t>
            </w:r>
          </w:p>
        </w:tc>
      </w:tr>
      <w:tr>
        <w:tc>
          <w:tcPr>
            <w:tcW w:type="dxa" w:w="32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Deployment manifests</w:t>
            </w:r>
          </w:p>
        </w:tc>
        <w:tc>
          <w:tcPr>
            <w:tcW w:type="dxa" w:w="64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k8s/ (Kustomize), docker-compose.yml</w:t>
            </w:r>
          </w:p>
        </w:tc>
      </w:tr>
      <w:tr>
        <w:tc>
          <w:tcPr>
            <w:tcW w:type="dxa" w:w="32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Monitoring</w:t>
            </w:r>
          </w:p>
        </w:tc>
        <w:tc>
          <w:tcPr>
            <w:tcW w:type="dxa" w:w="64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monitoring/, k8s/monitoring/</w:t>
            </w:r>
          </w:p>
        </w:tc>
      </w:tr>
      <w:tr>
        <w:tc>
          <w:tcPr>
            <w:tcW w:type="dxa" w:w="32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Screenshots</w:t>
            </w:r>
          </w:p>
        </w:tc>
        <w:tc>
          <w:tcPr>
            <w:tcW w:type="dxa" w:w="64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screenshots/</w:t>
            </w:r>
          </w:p>
        </w:tc>
      </w:tr>
      <w:tr>
        <w:tc>
          <w:tcPr>
            <w:tcW w:type="dxa" w:w="32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API access</w:t>
            </w:r>
          </w:p>
        </w:tc>
        <w:tc>
          <w:tcPr>
            <w:tcW w:type="dxa" w:w="64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Local: http://&lt;EXTERNAL-IP&gt; via minikube tunnel, or http://heart-api.local (Ingress)</w:t>
            </w:r>
          </w:p>
        </w:tc>
      </w:tr>
      <w:tr>
        <w:tc>
          <w:tcPr>
            <w:tcW w:type="dxa" w:w="3200"/>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Pipeline video</w:t>
            </w:r>
          </w:p>
        </w:tc>
        <w:tc>
          <w:tcPr>
            <w:tcW w:type="dxa" w:w="6438"/>
            <w:tcBorders>
              <w:top w:val="single" w:color="CBD5E0" w:sz="4"/>
              <w:left w:val="single" w:color="CBD5E0" w:sz="4"/>
              <w:bottom w:val="single" w:color="CBD5E0" w:sz="4"/>
              <w:right w:val="single" w:color="CBD5E0" w:sz="4"/>
            </w:tcBorders>
            <w:shd w:fill="FFFFFF" w:color="auto" w:val="clear"/>
            <w:tcMar>
              <w:top w:type="dxa" w:w="60"/>
              <w:left w:type="dxa" w:w="90"/>
              <w:bottom w:type="dxa" w:w="60"/>
              <w:right w:type="dxa" w:w="90"/>
            </w:tcMar>
          </w:tcPr>
          <w:p>
            <w:pPr>
              <w:jc w:val="left"/>
            </w:pPr>
            <w:r>
              <w:rPr>
                <w:b w:val="false"/>
                <w:bCs w:val="false"/>
                <w:color w:val="111827"/>
                <w:sz w:val="18"/>
                <w:szCs w:val="18"/>
              </w:rPr>
              <w:t xml:space="preserve">[link]</w:t>
            </w:r>
          </w:p>
        </w:tc>
      </w:tr>
    </w:tbl>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AIMLCZG523 · Assignment 01 · Heart Disease MLOps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E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5ab1a61530ebaffa3cf04d2273326e586f23ab.png"/><Relationship Id="rId10" Type="http://schemas.openxmlformats.org/officeDocument/2006/relationships/image" Target="media/568588850d09d0982f213746224dc16023a56d9b.png"/><Relationship Id="rId11" Type="http://schemas.openxmlformats.org/officeDocument/2006/relationships/image" Target="media/f164fa47f3796de9fd92d4673d5cbb2ce607abfb.png"/><Relationship Id="rId12" Type="http://schemas.openxmlformats.org/officeDocument/2006/relationships/image" Target="media/f3a7587b521c49633d3ee6bc4b8f561147732010.png"/><Relationship Id="rId13" Type="http://schemas.openxmlformats.org/officeDocument/2006/relationships/image" Target="media/2508709fe9498d0a670147228d4b58474fee1459.png"/><Relationship Id="rId14" Type="http://schemas.openxmlformats.org/officeDocument/2006/relationships/image" Target="media/15ec68626cb87895edb653ccbd165fd9914f37c6.png"/><Relationship Id="rId15" Type="http://schemas.openxmlformats.org/officeDocument/2006/relationships/image" Target="media/54c87e04a3c208afc16cfc256e809476b7c6265f.png"/><Relationship Id="rId16" Type="http://schemas.openxmlformats.org/officeDocument/2006/relationships/image" Target="media/046d12b63076196d9c4902f333338765be44ade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Prediction - MLOps Assignment 1</dc:title>
  <dc:creator>Student</dc:creator>
  <cp:lastModifiedBy>Un-named</cp:lastModifiedBy>
  <cp:revision>1</cp:revision>
  <dcterms:created xsi:type="dcterms:W3CDTF">2026-10-18T13:11:37.701Z</dcterms:created>
  <dcterms:modified xsi:type="dcterms:W3CDTF">2026-10-18T13:11:37.701Z</dcterms:modified>
</cp:coreProperties>
</file>

<file path=docProps/custom.xml><?xml version="1.0" encoding="utf-8"?>
<Properties xmlns="http://schemas.openxmlformats.org/officeDocument/2006/custom-properties" xmlns:vt="http://schemas.openxmlformats.org/officeDocument/2006/docPropsVTypes"/>
</file>