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MLOps Assignment 1: Heart Disease Prediction</w:t>
      </w:r>
    </w:p>
    <w:p>
      <w:r>
        <w:rPr>
          <w:b/>
          <w:i w:val="0"/>
        </w:rPr>
        <w:t>Student:</w:t>
      </w:r>
      <w:r>
        <w:rPr>
          <w:b w:val="0"/>
          <w:i w:val="0"/>
        </w:rPr>
        <w:t xml:space="preserve"> Hussain Badri</w:t>
        <w:br/>
      </w:r>
      <w:r>
        <w:rPr>
          <w:b/>
          <w:i w:val="0"/>
        </w:rPr>
        <w:t>ID:</w:t>
      </w:r>
      <w:r>
        <w:rPr>
          <w:b w:val="0"/>
          <w:i w:val="0"/>
        </w:rPr>
        <w:t xml:space="preserve"> 2025AF05063</w:t>
      </w:r>
      <w:r>
        <w:br/>
      </w:r>
      <w:r>
        <w:rPr>
          <w:b w:val="0"/>
          <w:i w:val="0"/>
        </w:rPr>
        <w:br/>
      </w:r>
      <w:r>
        <w:rPr>
          <w:b/>
          <w:i w:val="0"/>
        </w:rPr>
        <w:t>Repository:</w:t>
      </w:r>
      <w:r>
        <w:rPr>
          <w:b w:val="0"/>
          <w:i w:val="0"/>
        </w:rPr>
        <w:t xml:space="preserve"> https://github.com/2025af05063-a11y/MlopsAssignment1</w:t>
      </w:r>
      <w:r>
        <w:br/>
      </w:r>
      <w:r>
        <w:rPr>
          <w:b w:val="0"/>
          <w:i w:val="0"/>
        </w:rPr>
        <w:br/>
      </w:r>
      <w:r>
        <w:rPr>
          <w:b/>
          <w:i w:val="0"/>
        </w:rPr>
        <w:t>Report date:</w:t>
      </w:r>
      <w:r>
        <w:rPr>
          <w:b w:val="0"/>
          <w:i w:val="0"/>
        </w:rPr>
        <w:t xml:space="preserve"> 20 October 2026</w:t>
      </w:r>
    </w:p>
    <w:p>
      <w:pPr>
        <w:spacing w:before="100" w:after="160"/>
        <w:ind w:left="259" w:right="173"/>
        <w:shd w:fill="EAF3F5"/>
      </w:pPr>
      <w:r>
        <w:rPr>
          <w:b w:val="0"/>
          <w:i/>
        </w:rPr>
        <w:br/>
      </w:r>
      <w:r>
        <w:rPr>
          <w:b w:val="0"/>
          <w:i/>
        </w:rPr>
        <w:t>Submission note: the evidence screenshots, student name, and repository URL are included. Verify the Prometheus target and final CI status, then export and review the PDF and video before submission.</w:t>
      </w:r>
      <w:r>
        <w:rPr>
          <w:b w:val="0"/>
          <w:i/>
        </w:rPr>
        <w:br/>
      </w:r>
    </w:p>
    <w:p>
      <w:pPr>
        <w:pStyle w:val="Heading1"/>
      </w:pPr>
      <w:r>
        <w:rPr>
          <w:b w:val="0"/>
          <w:i w:val="0"/>
        </w:rPr>
        <w:t>1. Project Overview</w:t>
      </w:r>
    </w:p>
    <w:p>
      <w:r>
        <w:rPr>
          <w:b w:val="0"/>
          <w:i w:val="0"/>
        </w:rPr>
        <w:t>This project implements an end-to-end machine-learning workflow for the UCI Cleveland Heart Disease dataset. It downloads and explores the data, cleans and transforms it, compares two classifiers, logs experiments with MLflow, serves predictions through FastAPI, packages the service as a Docker image, and deploys it to Kubernetes on Minikube. Prometheus and Grafana are running in the cluster for monitoring.</w:t>
      </w:r>
    </w:p>
    <w:p>
      <w:r>
        <w:rPr>
          <w:b w:val="0"/>
          <w:i w:val="0"/>
        </w:rPr>
        <w:t>The API returns a model-estimated probability and a binary prediction. It is an educational demonstration, not a clinical diagnostic tool.</w:t>
      </w:r>
    </w:p>
    <w:p>
      <w:pPr>
        <w:pStyle w:val="Heading1"/>
      </w:pPr>
      <w:r>
        <w:rPr>
          <w:b w:val="0"/>
          <w:i w:val="0"/>
        </w:rPr>
        <w:t>2. Architecture</w:t>
      </w:r>
    </w:p>
    <w:p>
      <w:pPr>
        <w:spacing w:before="40" w:after="40"/>
        <w:jc w:val="center"/>
      </w:pPr>
      <w:r>
        <w:drawing>
          <wp:inline xmlns:a="http://schemas.openxmlformats.org/drawingml/2006/main" xmlns:pic="http://schemas.openxmlformats.org/drawingml/2006/picture">
            <wp:extent cx="6400800" cy="384048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400800" cy="3840480"/>
                    </a:xfrm>
                    <a:prstGeom prst="rect"/>
                  </pic:spPr>
                </pic:pic>
              </a:graphicData>
            </a:graphic>
          </wp:inline>
        </w:drawing>
      </w:r>
    </w:p>
    <w:p>
      <w:pPr>
        <w:spacing w:after="120"/>
        <w:jc w:val="center"/>
      </w:pPr>
      <w:r>
        <w:rPr>
          <w:i/>
          <w:color w:val="647784"/>
          <w:sz w:val="16"/>
        </w:rPr>
        <w:t>Heart Disease MLOps architecture</w:t>
      </w:r>
    </w:p>
    <w:p>
      <w:r>
        <w:rPr>
          <w:b w:val="0"/>
          <w:i w:val="0"/>
        </w:rPr>
        <w:t xml:space="preserve">The checked-in workflow publishes both </w:t>
      </w:r>
      <w:r>
        <w:rPr>
          <w:rFonts w:ascii="Consolas" w:hAnsi="Consolas"/>
          <w:b w:val="0"/>
          <w:i w:val="0"/>
          <w:color w:val="178B8C"/>
          <w:sz w:val="18"/>
        </w:rPr>
        <w:t>latest</w:t>
      </w:r>
      <w:r>
        <w:rPr>
          <w:b w:val="0"/>
          <w:i w:val="0"/>
        </w:rPr>
        <w:t xml:space="preserve"> and </w:t>
      </w:r>
      <w:r>
        <w:rPr>
          <w:rFonts w:ascii="Consolas" w:hAnsi="Consolas"/>
          <w:b w:val="0"/>
          <w:i w:val="0"/>
          <w:color w:val="178B8C"/>
          <w:sz w:val="18"/>
        </w:rPr>
        <w:t>v3</w:t>
      </w:r>
      <w:r>
        <w:rPr>
          <w:b w:val="0"/>
          <w:i w:val="0"/>
        </w:rPr>
        <w:t>, matching the image tag used by the live Minikube deployment. The workflow builds and publishes images; it does not deploy them to Minikube.</w:t>
      </w:r>
    </w:p>
    <w:p>
      <w:pPr>
        <w:pStyle w:val="Heading1"/>
      </w:pPr>
      <w:r>
        <w:rPr>
          <w:b w:val="0"/>
          <w:i w:val="0"/>
        </w:rPr>
        <w:t>3. Reproduction and Setup</w:t>
      </w:r>
    </w:p>
    <w:p>
      <w:r>
        <w:rPr>
          <w:b w:val="0"/>
          <w:i w:val="0"/>
        </w:rPr>
        <w:t>The commands below assume Windows PowerShell, Docker Desktop, Minikube, and a GitHub Container Registry account. Run commands from the repository root.</w:t>
      </w:r>
    </w:p>
    <w:p>
      <w:pPr>
        <w:keepLines/>
        <w:spacing w:before="60" w:after="140"/>
        <w:ind w:left="173" w:right="173"/>
        <w:shd w:fill="F1F5F7"/>
      </w:pPr>
      <w:r>
        <w:rPr>
          <w:rFonts w:ascii="Consolas" w:hAnsi="Consolas"/>
          <w:color w:val="294658"/>
          <w:sz w:val="16"/>
        </w:rPr>
        <w:t># Create and install into a project virtual environment</w:t>
        <w:br/>
        <w:t>py -m venv .venv</w:t>
        <w:br/>
        <w:t>.\.venv\Scripts\python.exe -m pip install -r requirements.txt</w:t>
        <w:br/>
        <w:br/>
        <w:t># Download the data and train the models</w:t>
        <w:br/>
        <w:t>.\.venv\Scripts\python.exe data/download.py</w:t>
        <w:br/>
        <w:t>$env:MLFLOW_TRACKING_URI = "sqlite:///mlflow.db"</w:t>
        <w:br/>
        <w:t>.\.venv\Scripts\python.exe -m src.train</w:t>
        <w:br/>
        <w:br/>
        <w:t># View the experiment database created by training</w:t>
        <w:br/>
        <w:t>.\.venv\Scripts\mlflow.exe ui --backend-store-uri sqlite:///mlflow.db --port 5000</w:t>
      </w:r>
    </w:p>
    <w:p>
      <w:r>
        <w:rPr>
          <w:b w:val="0"/>
          <w:i w:val="0"/>
        </w:rPr>
        <w:t xml:space="preserve">Open </w:t>
      </w:r>
      <w:r>
        <w:rPr>
          <w:rFonts w:ascii="Consolas" w:hAnsi="Consolas"/>
          <w:b w:val="0"/>
          <w:i w:val="0"/>
          <w:color w:val="178B8C"/>
          <w:sz w:val="18"/>
        </w:rPr>
        <w:t>http://localhost:5000</w:t>
      </w:r>
      <w:r>
        <w:rPr>
          <w:b w:val="0"/>
          <w:i w:val="0"/>
        </w:rPr>
        <w:t xml:space="preserve"> to compare runs. To run the API locally after training, use a separate terminal from the repository root:</w:t>
      </w:r>
    </w:p>
    <w:p>
      <w:pPr>
        <w:keepLines/>
        <w:spacing w:before="60" w:after="140"/>
        <w:ind w:left="173" w:right="173"/>
        <w:shd w:fill="F1F5F7"/>
      </w:pPr>
      <w:r>
        <w:rPr>
          <w:rFonts w:ascii="Consolas" w:hAnsi="Consolas"/>
          <w:color w:val="294658"/>
          <w:sz w:val="16"/>
        </w:rPr>
        <w:t>.\.venv\Scripts\python.exe -m uvicorn src.api:app --host 127.0.0.1 --port 8000</w:t>
      </w:r>
    </w:p>
    <w:p>
      <w:r>
        <w:rPr>
          <w:b w:val="0"/>
          <w:i w:val="0"/>
        </w:rPr>
        <w:t xml:space="preserve">Check the health endpoint at </w:t>
      </w:r>
      <w:r>
        <w:rPr>
          <w:rFonts w:ascii="Consolas" w:hAnsi="Consolas"/>
          <w:b w:val="0"/>
          <w:i w:val="0"/>
          <w:color w:val="178B8C"/>
          <w:sz w:val="18"/>
        </w:rPr>
        <w:t>http://localhost:8000/health</w:t>
      </w:r>
      <w:r>
        <w:rPr>
          <w:b w:val="0"/>
          <w:i w:val="0"/>
        </w:rPr>
        <w:t>. For a local prediction request in PowerShell:</w:t>
      </w:r>
    </w:p>
    <w:p>
      <w:pPr>
        <w:keepLines/>
        <w:spacing w:before="60" w:after="140"/>
        <w:ind w:left="173" w:right="173"/>
        <w:shd w:fill="F1F5F7"/>
      </w:pPr>
      <w:r>
        <w:rPr>
          <w:rFonts w:ascii="Consolas" w:hAnsi="Consolas"/>
          <w:color w:val="294658"/>
          <w:sz w:val="16"/>
        </w:rPr>
        <w:t>$body = @{</w:t>
        <w:br/>
        <w:t xml:space="preserve">  age = 63; sex = 1; cp = 3; trestbps = 145; chol = 233</w:t>
        <w:br/>
        <w:t xml:space="preserve">  fbs = 1; restecg = 0; thalach = 150; exang = 0</w:t>
        <w:br/>
        <w:t xml:space="preserve">  oldpeak = 2.3; slope = 0; ca = 0; thal = 1</w:t>
        <w:br/>
        <w:t>} | ConvertTo-Json -Compress</w:t>
        <w:br/>
        <w:t>Invoke-RestMethod -Uri "http://localhost:8000/predict" -Method Post -ContentType "application/json" -Body $body</w:t>
      </w:r>
    </w:p>
    <w:p>
      <w:pPr>
        <w:pStyle w:val="Heading1"/>
      </w:pPr>
      <w:r>
        <w:rPr>
          <w:b w:val="0"/>
          <w:i w:val="0"/>
        </w:rPr>
        <w:t>4. Data and Modeling</w:t>
      </w:r>
    </w:p>
    <w:p>
      <w:r>
        <w:rPr>
          <w:b w:val="0"/>
          <w:i w:val="0"/>
        </w:rPr>
        <w:t>The source file contains 303 records and 13 input features. Six records with missing values are removed, leaving 297 rows: 160 negative and 137 positive target values. The original target values 1 through 4 are grouped as positive; 0 remains negative.</w:t>
      </w:r>
    </w:p>
    <w:p>
      <w:r>
        <w:rPr>
          <w:b w:val="0"/>
          <w:i w:val="0"/>
        </w:rPr>
        <w:t>Five numeric features (</w:t>
      </w:r>
      <w:r>
        <w:rPr>
          <w:rFonts w:ascii="Consolas" w:hAnsi="Consolas"/>
          <w:b w:val="0"/>
          <w:i w:val="0"/>
          <w:color w:val="178B8C"/>
          <w:sz w:val="18"/>
        </w:rPr>
        <w:t>age</w:t>
      </w:r>
      <w:r>
        <w:rPr>
          <w:b w:val="0"/>
          <w:i w:val="0"/>
        </w:rPr>
        <w:t xml:space="preserve">, </w:t>
      </w:r>
      <w:r>
        <w:rPr>
          <w:rFonts w:ascii="Consolas" w:hAnsi="Consolas"/>
          <w:b w:val="0"/>
          <w:i w:val="0"/>
          <w:color w:val="178B8C"/>
          <w:sz w:val="18"/>
        </w:rPr>
        <w:t>trestbps</w:t>
      </w:r>
      <w:r>
        <w:rPr>
          <w:b w:val="0"/>
          <w:i w:val="0"/>
        </w:rPr>
        <w:t xml:space="preserve">, </w:t>
      </w:r>
      <w:r>
        <w:rPr>
          <w:rFonts w:ascii="Consolas" w:hAnsi="Consolas"/>
          <w:b w:val="0"/>
          <w:i w:val="0"/>
          <w:color w:val="178B8C"/>
          <w:sz w:val="18"/>
        </w:rPr>
        <w:t>chol</w:t>
      </w:r>
      <w:r>
        <w:rPr>
          <w:b w:val="0"/>
          <w:i w:val="0"/>
        </w:rPr>
        <w:t xml:space="preserve">, </w:t>
      </w:r>
      <w:r>
        <w:rPr>
          <w:rFonts w:ascii="Consolas" w:hAnsi="Consolas"/>
          <w:b w:val="0"/>
          <w:i w:val="0"/>
          <w:color w:val="178B8C"/>
          <w:sz w:val="18"/>
        </w:rPr>
        <w:t>thalach</w:t>
      </w:r>
      <w:r>
        <w:rPr>
          <w:b w:val="0"/>
          <w:i w:val="0"/>
        </w:rPr>
        <w:t xml:space="preserve">, and </w:t>
      </w:r>
      <w:r>
        <w:rPr>
          <w:rFonts w:ascii="Consolas" w:hAnsi="Consolas"/>
          <w:b w:val="0"/>
          <w:i w:val="0"/>
          <w:color w:val="178B8C"/>
          <w:sz w:val="18"/>
        </w:rPr>
        <w:t>oldpeak</w:t>
      </w:r>
      <w:r>
        <w:rPr>
          <w:b w:val="0"/>
          <w:i w:val="0"/>
        </w:rPr>
        <w:t>) are standardized. The eight integer-coded categorical features are passed through unchanged. The split is stratified, with 80% used for training and 20% held out for evaluation (</w:t>
      </w:r>
      <w:r>
        <w:rPr>
          <w:rFonts w:ascii="Consolas" w:hAnsi="Consolas"/>
          <w:b w:val="0"/>
          <w:i w:val="0"/>
          <w:color w:val="178B8C"/>
          <w:sz w:val="18"/>
        </w:rPr>
        <w:t>random_state=42</w:t>
      </w:r>
      <w:r>
        <w:rPr>
          <w:b w:val="0"/>
          <w:i w:val="0"/>
        </w:rPr>
        <w:t xml:space="preserve">). The code imports </w:t>
      </w:r>
      <w:r>
        <w:rPr>
          <w:rFonts w:ascii="Consolas" w:hAnsi="Consolas"/>
          <w:b w:val="0"/>
          <w:i w:val="0"/>
          <w:color w:val="178B8C"/>
          <w:sz w:val="18"/>
        </w:rPr>
        <w:t>cross_val_score</w:t>
      </w:r>
      <w:r>
        <w:rPr>
          <w:b w:val="0"/>
          <w:i w:val="0"/>
        </w:rPr>
        <w:t xml:space="preserve"> but does not use it; the results below are from one holdout split, not five-fold cross-validation.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193B56"/>
          </w:tcPr>
          <w:p>
            <w:pPr>
              <w:spacing w:after="20" w:before="20"/>
            </w:pPr>
            <w:r>
              <w:rPr>
                <w:b/>
                <w:color w:val="FFFFFF"/>
              </w:rPr>
            </w:r>
            <w:r>
              <w:rPr>
                <w:b/>
                <w:i w:val="0"/>
                <w:color w:val="FFFFFF"/>
              </w:rPr>
              <w:t>Model</w:t>
            </w:r>
          </w:p>
        </w:tc>
        <w:tc>
          <w:tcPr>
            <w:tcW w:type="dxa" w:w="2033"/>
            <w:vAlign w:val="center"/>
            <w:shd w:fill="193B56"/>
          </w:tcPr>
          <w:p>
            <w:pPr>
              <w:spacing w:after="20" w:before="20"/>
            </w:pPr>
            <w:r>
              <w:rPr>
                <w:b/>
                <w:color w:val="FFFFFF"/>
              </w:rPr>
            </w:r>
            <w:r>
              <w:rPr>
                <w:b/>
                <w:i w:val="0"/>
                <w:color w:val="FFFFFF"/>
              </w:rPr>
              <w:t>Accuracy</w:t>
            </w:r>
          </w:p>
        </w:tc>
        <w:tc>
          <w:tcPr>
            <w:tcW w:type="dxa" w:w="2033"/>
            <w:vAlign w:val="center"/>
            <w:shd w:fill="193B56"/>
          </w:tcPr>
          <w:p>
            <w:pPr>
              <w:spacing w:after="20" w:before="20"/>
            </w:pPr>
            <w:r>
              <w:rPr>
                <w:b/>
                <w:color w:val="FFFFFF"/>
              </w:rPr>
            </w:r>
            <w:r>
              <w:rPr>
                <w:b/>
                <w:i w:val="0"/>
                <w:color w:val="FFFFFF"/>
              </w:rPr>
              <w:t>Precision</w:t>
            </w:r>
          </w:p>
        </w:tc>
        <w:tc>
          <w:tcPr>
            <w:tcW w:type="dxa" w:w="2033"/>
            <w:vAlign w:val="center"/>
            <w:shd w:fill="193B56"/>
          </w:tcPr>
          <w:p>
            <w:pPr>
              <w:spacing w:after="20" w:before="20"/>
            </w:pPr>
            <w:r>
              <w:rPr>
                <w:b/>
                <w:color w:val="FFFFFF"/>
              </w:rPr>
            </w:r>
            <w:r>
              <w:rPr>
                <w:b/>
                <w:i w:val="0"/>
                <w:color w:val="FFFFFF"/>
              </w:rPr>
              <w:t>Recall</w:t>
            </w:r>
          </w:p>
        </w:tc>
        <w:tc>
          <w:tcPr>
            <w:tcW w:type="dxa" w:w="2033"/>
            <w:vAlign w:val="center"/>
            <w:shd w:fill="193B56"/>
          </w:tcPr>
          <w:p>
            <w:pPr>
              <w:spacing w:after="20" w:before="20"/>
            </w:pPr>
            <w:r>
              <w:rPr>
                <w:b/>
                <w:color w:val="FFFFFF"/>
              </w:rPr>
            </w:r>
            <w:r>
              <w:rPr>
                <w:b/>
                <w:i w:val="0"/>
                <w:color w:val="FFFFFF"/>
              </w:rPr>
              <w:t>ROC-AUC</w:t>
            </w:r>
          </w:p>
        </w:tc>
      </w:tr>
      <w:tr>
        <w:tc>
          <w:tcPr>
            <w:tcW w:type="dxa" w:w="2033"/>
            <w:vAlign w:val="center"/>
          </w:tcPr>
          <w:p>
            <w:pPr>
              <w:spacing w:after="20" w:before="20"/>
            </w:pPr>
            <w:r/>
            <w:r>
              <w:rPr>
                <w:b w:val="0"/>
                <w:i w:val="0"/>
              </w:rPr>
              <w:t>Logistic Regression</w:t>
            </w:r>
          </w:p>
        </w:tc>
        <w:tc>
          <w:tcPr>
            <w:tcW w:type="dxa" w:w="2033"/>
            <w:vAlign w:val="center"/>
          </w:tcPr>
          <w:p>
            <w:pPr>
              <w:spacing w:after="20" w:before="20"/>
            </w:pPr>
            <w:r/>
            <w:r>
              <w:rPr>
                <w:b w:val="0"/>
                <w:i w:val="0"/>
              </w:rPr>
              <w:t>0.8333</w:t>
            </w:r>
          </w:p>
        </w:tc>
        <w:tc>
          <w:tcPr>
            <w:tcW w:type="dxa" w:w="2033"/>
            <w:vAlign w:val="center"/>
          </w:tcPr>
          <w:p>
            <w:pPr>
              <w:spacing w:after="20" w:before="20"/>
            </w:pPr>
            <w:r/>
            <w:r>
              <w:rPr>
                <w:b w:val="0"/>
                <w:i w:val="0"/>
              </w:rPr>
              <w:t>0.8462</w:t>
            </w:r>
          </w:p>
        </w:tc>
        <w:tc>
          <w:tcPr>
            <w:tcW w:type="dxa" w:w="2033"/>
            <w:vAlign w:val="center"/>
          </w:tcPr>
          <w:p>
            <w:pPr>
              <w:spacing w:after="20" w:before="20"/>
            </w:pPr>
            <w:r/>
            <w:r>
              <w:rPr>
                <w:b w:val="0"/>
                <w:i w:val="0"/>
              </w:rPr>
              <w:t>0.7857</w:t>
            </w:r>
          </w:p>
        </w:tc>
        <w:tc>
          <w:tcPr>
            <w:tcW w:type="dxa" w:w="2033"/>
            <w:vAlign w:val="center"/>
          </w:tcPr>
          <w:p>
            <w:pPr>
              <w:spacing w:after="20" w:before="20"/>
            </w:pPr>
            <w:r/>
            <w:r>
              <w:rPr>
                <w:b/>
                <w:i w:val="0"/>
              </w:rPr>
              <w:t>0.9487</w:t>
            </w:r>
          </w:p>
        </w:tc>
      </w:tr>
      <w:tr>
        <w:tc>
          <w:tcPr>
            <w:tcW w:type="dxa" w:w="2033"/>
            <w:vAlign w:val="center"/>
            <w:shd w:fill="EDF3F6"/>
          </w:tcPr>
          <w:p>
            <w:pPr>
              <w:spacing w:after="20" w:before="20"/>
            </w:pPr>
            <w:r/>
            <w:r>
              <w:rPr>
                <w:b w:val="0"/>
                <w:i w:val="0"/>
              </w:rPr>
              <w:t>Random Forest</w:t>
            </w:r>
          </w:p>
        </w:tc>
        <w:tc>
          <w:tcPr>
            <w:tcW w:type="dxa" w:w="2033"/>
            <w:vAlign w:val="center"/>
            <w:shd w:fill="EDF3F6"/>
          </w:tcPr>
          <w:p>
            <w:pPr>
              <w:spacing w:after="20" w:before="20"/>
            </w:pPr>
            <w:r/>
            <w:r>
              <w:rPr>
                <w:b/>
                <w:i w:val="0"/>
              </w:rPr>
              <w:t>0.8667</w:t>
            </w:r>
          </w:p>
        </w:tc>
        <w:tc>
          <w:tcPr>
            <w:tcW w:type="dxa" w:w="2033"/>
            <w:vAlign w:val="center"/>
            <w:shd w:fill="EDF3F6"/>
          </w:tcPr>
          <w:p>
            <w:pPr>
              <w:spacing w:after="20" w:before="20"/>
            </w:pPr>
            <w:r/>
            <w:r>
              <w:rPr>
                <w:b/>
                <w:i w:val="0"/>
              </w:rPr>
              <w:t>0.8846</w:t>
            </w:r>
          </w:p>
        </w:tc>
        <w:tc>
          <w:tcPr>
            <w:tcW w:type="dxa" w:w="2033"/>
            <w:vAlign w:val="center"/>
            <w:shd w:fill="EDF3F6"/>
          </w:tcPr>
          <w:p>
            <w:pPr>
              <w:spacing w:after="20" w:before="20"/>
            </w:pPr>
            <w:r/>
            <w:r>
              <w:rPr>
                <w:b/>
                <w:i w:val="0"/>
              </w:rPr>
              <w:t>0.8214</w:t>
            </w:r>
          </w:p>
        </w:tc>
        <w:tc>
          <w:tcPr>
            <w:tcW w:type="dxa" w:w="2033"/>
            <w:vAlign w:val="center"/>
            <w:shd w:fill="EDF3F6"/>
          </w:tcPr>
          <w:p>
            <w:pPr>
              <w:spacing w:after="20" w:before="20"/>
            </w:pPr>
            <w:r/>
            <w:r>
              <w:rPr>
                <w:b w:val="0"/>
                <w:i w:val="0"/>
              </w:rPr>
              <w:t>0.9386</w:t>
            </w:r>
          </w:p>
        </w:tc>
      </w:tr>
    </w:tbl>
    <w:p>
      <w:pPr>
        <w:spacing w:after="20"/>
      </w:pPr>
    </w:p>
    <w:p>
      <w:r>
        <w:rPr>
          <w:b w:val="0"/>
          <w:i w:val="0"/>
        </w:rPr>
        <w:t xml:space="preserve">These are the latest successful runs recorded in the local MLflow database. Training selects the model with the higher ROC-AUC, so Logistic Regression is saved as </w:t>
      </w:r>
      <w:r>
        <w:rPr>
          <w:rFonts w:ascii="Consolas" w:hAnsi="Consolas"/>
          <w:b w:val="0"/>
          <w:i w:val="0"/>
          <w:color w:val="178B8C"/>
          <w:sz w:val="18"/>
        </w:rPr>
        <w:t>best_model.joblib</w:t>
      </w:r>
      <w:r>
        <w:rPr>
          <w:b w:val="0"/>
          <w:i w:val="0"/>
        </w:rPr>
        <w:t>, despite Random Forest having higher accuracy, precision, and recall on this split. Earlier failed/repeated runs remain in the MLflow history; use the latest finished run for each model when reviewing results.</w:t>
      </w:r>
    </w:p>
    <w:p>
      <w:pPr>
        <w:pStyle w:val="Heading1"/>
      </w:pPr>
      <w:r>
        <w:rPr>
          <w:b w:val="0"/>
          <w:i w:val="0"/>
        </w:rPr>
        <w:t>5. Experiment Tracking and API</w:t>
      </w:r>
    </w:p>
    <w:p>
      <w:r>
        <w:rPr>
          <w:b w:val="0"/>
          <w:i w:val="0"/>
        </w:rPr>
        <w:t xml:space="preserve">The experiment is named </w:t>
      </w:r>
      <w:r>
        <w:rPr>
          <w:rFonts w:ascii="Consolas" w:hAnsi="Consolas"/>
          <w:b w:val="0"/>
          <w:i w:val="0"/>
          <w:color w:val="178B8C"/>
          <w:sz w:val="18"/>
        </w:rPr>
        <w:t>heart-disease-classification</w:t>
      </w:r>
      <w:r>
        <w:rPr>
          <w:b w:val="0"/>
          <w:i w:val="0"/>
        </w:rPr>
        <w:t>. MLflow records the model type, accuracy, precision, recall, ROC-AUC, and serialized model for each run. The notebook also creates class-balance, correlation, and numeric-feature distribution plots for logging as artifacts.</w:t>
      </w:r>
    </w:p>
    <w:p>
      <w:pPr>
        <w:spacing w:before="40" w:after="40"/>
        <w:jc w:val="center"/>
      </w:pPr>
      <w:r>
        <w:drawing>
          <wp:inline xmlns:a="http://schemas.openxmlformats.org/drawingml/2006/main" xmlns:pic="http://schemas.openxmlformats.org/drawingml/2006/picture">
            <wp:extent cx="6400800" cy="2724610"/>
            <wp:docPr id="2" name="Picture 2"/>
            <wp:cNvGraphicFramePr>
              <a:graphicFrameLocks noChangeAspect="1"/>
            </wp:cNvGraphicFramePr>
            <a:graphic>
              <a:graphicData uri="http://schemas.openxmlformats.org/drawingml/2006/picture">
                <pic:pic>
                  <pic:nvPicPr>
                    <pic:cNvPr id="0" name="mlflow.png"/>
                    <pic:cNvPicPr/>
                  </pic:nvPicPr>
                  <pic:blipFill>
                    <a:blip r:embed="rId12"/>
                    <a:stretch>
                      <a:fillRect/>
                    </a:stretch>
                  </pic:blipFill>
                  <pic:spPr>
                    <a:xfrm>
                      <a:off x="0" y="0"/>
                      <a:ext cx="6400800" cy="2724610"/>
                    </a:xfrm>
                    <a:prstGeom prst="rect"/>
                  </pic:spPr>
                </pic:pic>
              </a:graphicData>
            </a:graphic>
          </wp:inline>
        </w:drawing>
      </w:r>
    </w:p>
    <w:p>
      <w:pPr>
        <w:spacing w:after="120"/>
        <w:jc w:val="center"/>
      </w:pPr>
      <w:r>
        <w:rPr>
          <w:i/>
          <w:color w:val="647784"/>
          <w:sz w:val="16"/>
        </w:rPr>
        <w:t>MLflow experiment runs</w:t>
      </w:r>
    </w:p>
    <w:p>
      <w:r>
        <w:rPr>
          <w:rFonts w:ascii="Consolas" w:hAnsi="Consolas"/>
          <w:b w:val="0"/>
          <w:i w:val="0"/>
          <w:color w:val="178B8C"/>
          <w:sz w:val="18"/>
        </w:rPr>
        <w:t>src/api.py</w:t>
      </w:r>
      <w:r>
        <w:rPr>
          <w:b w:val="0"/>
          <w:i w:val="0"/>
        </w:rPr>
        <w:t xml:space="preserve"> loads </w:t>
      </w:r>
      <w:r>
        <w:rPr>
          <w:rFonts w:ascii="Consolas" w:hAnsi="Consolas"/>
          <w:b w:val="0"/>
          <w:i w:val="0"/>
          <w:color w:val="178B8C"/>
          <w:sz w:val="18"/>
        </w:rPr>
        <w:t>best_model.joblib</w:t>
      </w:r>
      <w:r>
        <w:rPr>
          <w:b w:val="0"/>
          <w:i w:val="0"/>
        </w:rPr>
        <w:t xml:space="preserve"> and provides:</w:t>
      </w:r>
    </w:p>
    <w:p>
      <w:pPr>
        <w:pStyle w:val="ListBullet"/>
        <w:spacing w:after="40"/>
      </w:pPr>
      <w:r>
        <w:rPr>
          <w:rFonts w:ascii="Consolas" w:hAnsi="Consolas"/>
          <w:b w:val="0"/>
          <w:i w:val="0"/>
          <w:color w:val="178B8C"/>
          <w:sz w:val="18"/>
        </w:rPr>
        <w:t>POST /predict</w:t>
      </w:r>
      <w:r>
        <w:rPr>
          <w:b w:val="0"/>
          <w:i w:val="0"/>
        </w:rPr>
        <w:t xml:space="preserve"> for a patient feature set</w:t>
      </w:r>
    </w:p>
    <w:p>
      <w:pPr>
        <w:pStyle w:val="ListBullet"/>
        <w:spacing w:after="40"/>
      </w:pPr>
      <w:r>
        <w:rPr>
          <w:rFonts w:ascii="Consolas" w:hAnsi="Consolas"/>
          <w:b w:val="0"/>
          <w:i w:val="0"/>
          <w:color w:val="178B8C"/>
          <w:sz w:val="18"/>
        </w:rPr>
        <w:t>GET /health</w:t>
      </w:r>
      <w:r>
        <w:rPr>
          <w:b w:val="0"/>
          <w:i w:val="0"/>
        </w:rPr>
        <w:t xml:space="preserve"> for readiness checks</w:t>
      </w:r>
    </w:p>
    <w:p>
      <w:pPr>
        <w:pStyle w:val="ListBullet"/>
        <w:spacing w:after="40"/>
      </w:pPr>
      <w:r>
        <w:rPr>
          <w:rFonts w:ascii="Consolas" w:hAnsi="Consolas"/>
          <w:b w:val="0"/>
          <w:i w:val="0"/>
          <w:color w:val="178B8C"/>
          <w:sz w:val="18"/>
        </w:rPr>
        <w:t>GET /metrics</w:t>
      </w:r>
      <w:r>
        <w:rPr>
          <w:b w:val="0"/>
          <w:i w:val="0"/>
        </w:rPr>
        <w:t xml:space="preserve"> for Prometheus-format request and latency metrics</w:t>
      </w:r>
    </w:p>
    <w:p>
      <w:r>
        <w:rPr>
          <w:b w:val="0"/>
          <w:i w:val="0"/>
        </w:rPr>
        <w:t xml:space="preserve">The prediction endpoint constructs a named-column DataFrame to match the preprocessing pipeline. A verified sample returned a heart-disease risk of approximately </w:t>
      </w:r>
      <w:r>
        <w:rPr>
          <w:rFonts w:ascii="Consolas" w:hAnsi="Consolas"/>
          <w:b w:val="0"/>
          <w:i w:val="0"/>
          <w:color w:val="178B8C"/>
          <w:sz w:val="18"/>
        </w:rPr>
        <w:t>0.0336</w:t>
      </w:r>
      <w:r>
        <w:rPr>
          <w:b w:val="0"/>
          <w:i w:val="0"/>
        </w:rPr>
        <w:t xml:space="preserve"> and prediction </w:t>
      </w:r>
      <w:r>
        <w:rPr>
          <w:rFonts w:ascii="Consolas" w:hAnsi="Consolas"/>
          <w:b w:val="0"/>
          <w:i w:val="0"/>
          <w:color w:val="178B8C"/>
          <w:sz w:val="18"/>
        </w:rPr>
        <w:t>0</w:t>
      </w:r>
      <w:r>
        <w:rPr>
          <w:b w:val="0"/>
          <w:i w:val="0"/>
        </w:rPr>
        <w:t>. This example is for software testing only.</w:t>
      </w:r>
    </w:p>
    <w:p>
      <w:pPr>
        <w:pStyle w:val="Heading1"/>
      </w:pPr>
      <w:r>
        <w:rPr>
          <w:b w:val="0"/>
          <w:i w:val="0"/>
        </w:rPr>
        <w:t>6. CI/CD and Containerization</w:t>
      </w:r>
    </w:p>
    <w:p>
      <w:r>
        <w:rPr>
          <w:b w:val="0"/>
          <w:i w:val="0"/>
        </w:rPr>
        <w:t xml:space="preserve">The GitHub Actions workflow in </w:t>
      </w:r>
      <w:r>
        <w:rPr>
          <w:rFonts w:ascii="Consolas" w:hAnsi="Consolas"/>
          <w:b w:val="0"/>
          <w:i w:val="0"/>
          <w:color w:val="178B8C"/>
          <w:sz w:val="18"/>
        </w:rPr>
        <w:t>.github/workflows/ci-cd.yml</w:t>
      </w:r>
      <w:r>
        <w:rPr>
          <w:b w:val="0"/>
          <w:i w:val="0"/>
        </w:rPr>
        <w:t xml:space="preserve"> runs on pushes and pull requests. Its first job installs </w:t>
      </w:r>
      <w:r>
        <w:rPr>
          <w:rFonts w:ascii="Consolas" w:hAnsi="Consolas"/>
          <w:b w:val="0"/>
          <w:i w:val="0"/>
          <w:color w:val="178B8C"/>
          <w:sz w:val="18"/>
        </w:rPr>
        <w:t>flake8</w:t>
      </w:r>
      <w:r>
        <w:rPr>
          <w:b w:val="0"/>
          <w:i w:val="0"/>
        </w:rPr>
        <w:t xml:space="preserve"> and </w:t>
      </w:r>
      <w:r>
        <w:rPr>
          <w:rFonts w:ascii="Consolas" w:hAnsi="Consolas"/>
          <w:b w:val="0"/>
          <w:i w:val="0"/>
          <w:color w:val="178B8C"/>
          <w:sz w:val="18"/>
        </w:rPr>
        <w:t>pytest</w:t>
      </w:r>
      <w:r>
        <w:rPr>
          <w:b w:val="0"/>
          <w:i w:val="0"/>
        </w:rPr>
        <w:t xml:space="preserve">, lints </w:t>
      </w:r>
      <w:r>
        <w:rPr>
          <w:rFonts w:ascii="Consolas" w:hAnsi="Consolas"/>
          <w:b w:val="0"/>
          <w:i w:val="0"/>
          <w:color w:val="178B8C"/>
          <w:sz w:val="18"/>
        </w:rPr>
        <w:t>src/</w:t>
      </w:r>
      <w:r>
        <w:rPr>
          <w:b w:val="0"/>
          <w:i w:val="0"/>
        </w:rPr>
        <w:t xml:space="preserve">, and runs </w:t>
      </w:r>
      <w:r>
        <w:rPr>
          <w:rFonts w:ascii="Consolas" w:hAnsi="Consolas"/>
          <w:b w:val="0"/>
          <w:i w:val="0"/>
          <w:color w:val="178B8C"/>
          <w:sz w:val="18"/>
        </w:rPr>
        <w:t>tests/</w:t>
      </w:r>
      <w:r>
        <w:rPr>
          <w:b w:val="0"/>
          <w:i w:val="0"/>
        </w:rPr>
        <w:t>. After that job succeeds, a second job installs project requirements, trains the model, logs in to GHCR using the workflow token, and builds and pushes the Docker image.</w:t>
      </w:r>
    </w:p>
    <w:p>
      <w:r>
        <w:rPr>
          <w:b w:val="0"/>
          <w:i w:val="0"/>
        </w:rPr>
        <w:t xml:space="preserve">The Dockerfile uses Python 3.11, installs pinned dependencies, copies the source and trained model, and starts Uvicorn on port 8000. The workflow publishes </w:t>
      </w:r>
      <w:r>
        <w:rPr>
          <w:rFonts w:ascii="Consolas" w:hAnsi="Consolas"/>
          <w:b w:val="0"/>
          <w:i w:val="0"/>
          <w:color w:val="178B8C"/>
          <w:sz w:val="18"/>
        </w:rPr>
        <w:t>ghcr.io/&lt;owner&gt;/heart-api:latest</w:t>
      </w:r>
      <w:r>
        <w:rPr>
          <w:b w:val="0"/>
          <w:i w:val="0"/>
        </w:rPr>
        <w:t xml:space="preserve"> and </w:t>
      </w:r>
      <w:r>
        <w:rPr>
          <w:rFonts w:ascii="Consolas" w:hAnsi="Consolas"/>
          <w:b w:val="0"/>
          <w:i w:val="0"/>
          <w:color w:val="178B8C"/>
          <w:sz w:val="18"/>
        </w:rPr>
        <w:t>ghcr.io/&lt;owner&gt;/heart-api:v3</w:t>
      </w:r>
      <w:r>
        <w:rPr>
          <w:b w:val="0"/>
          <w:i w:val="0"/>
        </w:rPr>
        <w:t xml:space="preserve">; the live Kubernetes deployment is pinned to </w:t>
      </w:r>
      <w:r>
        <w:rPr>
          <w:rFonts w:ascii="Consolas" w:hAnsi="Consolas"/>
          <w:b w:val="0"/>
          <w:i w:val="0"/>
          <w:color w:val="178B8C"/>
          <w:sz w:val="18"/>
        </w:rPr>
        <w:t>ghcr.io/2025af05063-a11y/heart-api:v3</w:t>
      </w:r>
      <w:r>
        <w:rPr>
          <w:b w:val="0"/>
          <w:i w:val="0"/>
        </w:rPr>
        <w:t>. The evidence folder includes a successful GitHub Actions run; rerun the workflow after any further code or workflow changes.</w:t>
      </w:r>
    </w:p>
    <w:p>
      <w:pPr>
        <w:pStyle w:val="Heading1"/>
      </w:pPr>
      <w:r>
        <w:rPr>
          <w:b w:val="0"/>
          <w:i w:val="0"/>
        </w:rPr>
        <w:t>7. Kubernetes and Monitoring</w:t>
      </w:r>
    </w:p>
    <w:p>
      <w:r>
        <w:rPr>
          <w:b w:val="0"/>
          <w:i w:val="0"/>
        </w:rPr>
        <w:t xml:space="preserve">The Kubernetes resources are in </w:t>
      </w:r>
      <w:r>
        <w:rPr>
          <w:rFonts w:ascii="Consolas" w:hAnsi="Consolas"/>
          <w:b w:val="0"/>
          <w:i w:val="0"/>
          <w:color w:val="178B8C"/>
          <w:sz w:val="18"/>
        </w:rPr>
        <w:t>k8s/deployment.yaml</w:t>
      </w:r>
      <w:r>
        <w:rPr>
          <w:b w:val="0"/>
          <w:i w:val="0"/>
        </w:rPr>
        <w:t xml:space="preserve"> and </w:t>
      </w:r>
      <w:r>
        <w:rPr>
          <w:rFonts w:ascii="Consolas" w:hAnsi="Consolas"/>
          <w:b w:val="0"/>
          <w:i w:val="0"/>
          <w:color w:val="178B8C"/>
          <w:sz w:val="18"/>
        </w:rPr>
        <w:t>k8s/service.yaml</w:t>
      </w:r>
      <w:r>
        <w:rPr>
          <w:b w:val="0"/>
          <w:i w:val="0"/>
        </w:rPr>
        <w:t xml:space="preserve">. The deployment uses a readiness probe on </w:t>
      </w:r>
      <w:r>
        <w:rPr>
          <w:rFonts w:ascii="Consolas" w:hAnsi="Consolas"/>
          <w:b w:val="0"/>
          <w:i w:val="0"/>
          <w:color w:val="178B8C"/>
          <w:sz w:val="18"/>
        </w:rPr>
        <w:t>/health</w:t>
      </w:r>
      <w:r>
        <w:rPr>
          <w:b w:val="0"/>
          <w:i w:val="0"/>
        </w:rPr>
        <w:t xml:space="preserve"> and the </w:t>
      </w:r>
      <w:r>
        <w:rPr>
          <w:rFonts w:ascii="Consolas" w:hAnsi="Consolas"/>
          <w:b w:val="0"/>
          <w:i w:val="0"/>
          <w:color w:val="178B8C"/>
          <w:sz w:val="18"/>
        </w:rPr>
        <w:t>ghcr-secret</w:t>
      </w:r>
      <w:r>
        <w:rPr>
          <w:b w:val="0"/>
          <w:i w:val="0"/>
        </w:rPr>
        <w:t xml:space="preserve"> image-pull secret. The service is </w:t>
      </w:r>
      <w:r>
        <w:rPr>
          <w:rFonts w:ascii="Consolas" w:hAnsi="Consolas"/>
          <w:b w:val="0"/>
          <w:i w:val="0"/>
          <w:color w:val="178B8C"/>
          <w:sz w:val="18"/>
        </w:rPr>
        <w:t>ClusterIP</w:t>
      </w:r>
      <w:r>
        <w:rPr>
          <w:b w:val="0"/>
          <w:i w:val="0"/>
        </w:rPr>
        <w:t xml:space="preserve"> on port 8000; for local testing, forward it with:</w:t>
      </w:r>
    </w:p>
    <w:p>
      <w:pPr>
        <w:keepLines/>
        <w:spacing w:before="60" w:after="140"/>
        <w:ind w:left="173" w:right="173"/>
        <w:shd w:fill="F1F5F7"/>
      </w:pPr>
      <w:r>
        <w:rPr>
          <w:rFonts w:ascii="Consolas" w:hAnsi="Consolas"/>
          <w:color w:val="294658"/>
          <w:sz w:val="16"/>
        </w:rPr>
        <w:t>minikube kubectl -- port-forward service/heart-api 8080:8000</w:t>
      </w:r>
    </w:p>
    <w:p>
      <w:r>
        <w:rPr>
          <w:b w:val="0"/>
          <w:i w:val="0"/>
        </w:rPr>
        <w:t>The live cluster was inspected on 20 October 2026: the deployment used the v3 image and had four ready API replicas. Grafana and Prometheus components were also running. The checked-in deployment manifest requests two replicas, so a fresh apply will not reproduce the live count of four unless it is changed or scaled:</w:t>
      </w:r>
    </w:p>
    <w:p>
      <w:pPr>
        <w:keepLines/>
        <w:spacing w:before="60" w:after="140"/>
        <w:ind w:left="173" w:right="173"/>
        <w:shd w:fill="F1F5F7"/>
      </w:pPr>
      <w:r>
        <w:rPr>
          <w:rFonts w:ascii="Consolas" w:hAnsi="Consolas"/>
          <w:color w:val="294658"/>
          <w:sz w:val="16"/>
        </w:rPr>
        <w:t>minikube kubectl -- scale deployment/heart-api --replicas=4</w:t>
      </w:r>
    </w:p>
    <w:p>
      <w:r>
        <w:rPr>
          <w:b w:val="0"/>
          <w:i w:val="0"/>
        </w:rPr>
        <w:t xml:space="preserve">The workspace-level Prometheus configuration defines a </w:t>
      </w:r>
      <w:r>
        <w:rPr>
          <w:rFonts w:ascii="Consolas" w:hAnsi="Consolas"/>
          <w:b w:val="0"/>
          <w:i w:val="0"/>
          <w:color w:val="178B8C"/>
          <w:sz w:val="18"/>
        </w:rPr>
        <w:t>heart-api</w:t>
      </w:r>
      <w:r>
        <w:rPr>
          <w:b w:val="0"/>
          <w:i w:val="0"/>
        </w:rPr>
        <w:t xml:space="preserve"> scrape job for </w:t>
      </w:r>
      <w:r>
        <w:rPr>
          <w:rFonts w:ascii="Consolas" w:hAnsi="Consolas"/>
          <w:b w:val="0"/>
          <w:i w:val="0"/>
          <w:color w:val="178B8C"/>
          <w:sz w:val="18"/>
        </w:rPr>
        <w:t>heart-api:8000/metrics</w:t>
      </w:r>
      <w:r>
        <w:rPr>
          <w:b w:val="0"/>
          <w:i w:val="0"/>
        </w:rPr>
        <w:t xml:space="preserve"> every 15 seconds. Confirm the target is </w:t>
      </w:r>
      <w:r>
        <w:rPr>
          <w:rFonts w:ascii="Consolas" w:hAnsi="Consolas"/>
          <w:b w:val="0"/>
          <w:i w:val="0"/>
          <w:color w:val="178B8C"/>
          <w:sz w:val="18"/>
        </w:rPr>
        <w:t>UP</w:t>
      </w:r>
      <w:r>
        <w:rPr>
          <w:b w:val="0"/>
          <w:i w:val="0"/>
        </w:rPr>
        <w:t xml:space="preserve"> in Prometheus and that the Grafana dashboard displays the custom API metrics before describing monitoring as fully verified. The Prometheus configuration file is currently outside the project directory; include it in the repository if a clean clone must reproduce that setup.</w:t>
      </w:r>
    </w:p>
    <w:p>
      <w:pPr>
        <w:pStyle w:val="Heading1"/>
      </w:pPr>
      <w:r>
        <w:rPr>
          <w:b w:val="0"/>
          <w:i w:val="0"/>
        </w:rPr>
        <w:t>8. Submission Evidence and Recording</w:t>
      </w:r>
    </w:p>
    <w:p>
      <w:r>
        <w:rPr>
          <w:b w:val="0"/>
          <w:i w:val="0"/>
        </w:rPr>
        <w:t xml:space="preserve">The </w:t>
      </w:r>
      <w:r>
        <w:rPr>
          <w:rFonts w:ascii="Consolas" w:hAnsi="Consolas"/>
          <w:b w:val="0"/>
          <w:i w:val="0"/>
          <w:color w:val="178B8C"/>
          <w:sz w:val="18"/>
        </w:rPr>
        <w:t>screenshots/</w:t>
      </w:r>
      <w:r>
        <w:rPr>
          <w:b w:val="0"/>
          <w:i w:val="0"/>
        </w:rPr>
        <w:t xml:space="preserve"> directory contains the architecture, MLflow, CI, Grafana, and prediction evidence. Capture </w:t>
      </w:r>
      <w:r>
        <w:rPr>
          <w:rFonts w:ascii="Consolas" w:hAnsi="Consolas"/>
          <w:b w:val="0"/>
          <w:i w:val="0"/>
          <w:color w:val="178B8C"/>
          <w:sz w:val="18"/>
        </w:rPr>
        <w:t>kubectl_pods.png</w:t>
      </w:r>
      <w:r>
        <w:rPr>
          <w:b w:val="0"/>
          <w:i w:val="0"/>
        </w:rPr>
        <w:t xml:space="preserve"> before exporting the final PDF.</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93B56"/>
          </w:tcPr>
          <w:p>
            <w:pPr>
              <w:spacing w:after="20" w:before="20"/>
            </w:pPr>
            <w:r>
              <w:rPr>
                <w:b/>
                <w:color w:val="FFFFFF"/>
              </w:rPr>
            </w:r>
            <w:r>
              <w:rPr>
                <w:b/>
                <w:i w:val="0"/>
                <w:color w:val="FFFFFF"/>
              </w:rPr>
              <w:t>File</w:t>
            </w:r>
          </w:p>
        </w:tc>
        <w:tc>
          <w:tcPr>
            <w:tcW w:type="dxa" w:w="3389"/>
            <w:vAlign w:val="center"/>
            <w:shd w:fill="193B56"/>
          </w:tcPr>
          <w:p>
            <w:pPr>
              <w:spacing w:after="20" w:before="20"/>
            </w:pPr>
            <w:r>
              <w:rPr>
                <w:b/>
                <w:color w:val="FFFFFF"/>
              </w:rPr>
            </w:r>
            <w:r>
              <w:rPr>
                <w:b/>
                <w:i w:val="0"/>
                <w:color w:val="FFFFFF"/>
              </w:rPr>
              <w:t>Evidence to capture</w:t>
            </w:r>
          </w:p>
        </w:tc>
        <w:tc>
          <w:tcPr>
            <w:tcW w:type="dxa" w:w="3389"/>
            <w:vAlign w:val="center"/>
            <w:shd w:fill="193B56"/>
          </w:tcPr>
          <w:p>
            <w:pPr>
              <w:spacing w:after="20" w:before="20"/>
            </w:pPr>
            <w:r>
              <w:rPr>
                <w:b/>
                <w:color w:val="FFFFFF"/>
              </w:rPr>
            </w:r>
            <w:r>
              <w:rPr>
                <w:b/>
                <w:i w:val="0"/>
                <w:color w:val="FFFFFF"/>
              </w:rPr>
              <w:t>Status</w:t>
            </w:r>
          </w:p>
        </w:tc>
      </w:tr>
      <w:tr>
        <w:tc>
          <w:tcPr>
            <w:tcW w:type="dxa" w:w="3389"/>
            <w:vAlign w:val="center"/>
          </w:tcPr>
          <w:p>
            <w:pPr>
              <w:spacing w:after="20" w:before="20"/>
            </w:pPr>
            <w:r/>
            <w:r>
              <w:rPr>
                <w:rFonts w:ascii="Consolas" w:hAnsi="Consolas"/>
                <w:b w:val="0"/>
                <w:i w:val="0"/>
                <w:color w:val="178B8C"/>
                <w:sz w:val="18"/>
              </w:rPr>
              <w:t>screenshots/architecture_diagram.png</w:t>
            </w:r>
          </w:p>
        </w:tc>
        <w:tc>
          <w:tcPr>
            <w:tcW w:type="dxa" w:w="3389"/>
            <w:vAlign w:val="center"/>
          </w:tcPr>
          <w:p>
            <w:pPr>
              <w:spacing w:after="20" w:before="20"/>
            </w:pPr>
            <w:r/>
            <w:r>
              <w:rPr>
                <w:b w:val="0"/>
                <w:i w:val="0"/>
              </w:rPr>
              <w:t>Architecture diagram included in this repository</w:t>
            </w:r>
          </w:p>
        </w:tc>
        <w:tc>
          <w:tcPr>
            <w:tcW w:type="dxa" w:w="3389"/>
            <w:vAlign w:val="center"/>
          </w:tcPr>
          <w:p>
            <w:pPr>
              <w:spacing w:after="20" w:before="20"/>
            </w:pPr>
            <w:r/>
            <w:r>
              <w:rPr>
                <w:b w:val="0"/>
                <w:i w:val="0"/>
              </w:rPr>
              <w:t>Ready</w:t>
            </w:r>
          </w:p>
        </w:tc>
      </w:tr>
      <w:tr>
        <w:tc>
          <w:tcPr>
            <w:tcW w:type="dxa" w:w="3389"/>
            <w:vAlign w:val="center"/>
            <w:shd w:fill="EDF3F6"/>
          </w:tcPr>
          <w:p>
            <w:pPr>
              <w:spacing w:after="20" w:before="20"/>
            </w:pPr>
            <w:r/>
            <w:r>
              <w:rPr>
                <w:rFonts w:ascii="Consolas" w:hAnsi="Consolas"/>
                <w:b w:val="0"/>
                <w:i w:val="0"/>
                <w:color w:val="178B8C"/>
                <w:sz w:val="18"/>
              </w:rPr>
              <w:t>screenshots/mlflow.png</w:t>
            </w:r>
          </w:p>
        </w:tc>
        <w:tc>
          <w:tcPr>
            <w:tcW w:type="dxa" w:w="3389"/>
            <w:vAlign w:val="center"/>
            <w:shd w:fill="EDF3F6"/>
          </w:tcPr>
          <w:p>
            <w:pPr>
              <w:spacing w:after="20" w:before="20"/>
            </w:pPr>
            <w:r/>
            <w:r>
              <w:rPr>
                <w:b w:val="0"/>
                <w:i w:val="0"/>
              </w:rPr>
              <w:t>MLflow UI with the latest finished run for both models</w:t>
            </w:r>
          </w:p>
        </w:tc>
        <w:tc>
          <w:tcPr>
            <w:tcW w:type="dxa" w:w="3389"/>
            <w:vAlign w:val="center"/>
            <w:shd w:fill="EDF3F6"/>
          </w:tcPr>
          <w:p>
            <w:pPr>
              <w:spacing w:after="20" w:before="20"/>
            </w:pPr>
            <w:r/>
            <w:r>
              <w:rPr>
                <w:b w:val="0"/>
                <w:i w:val="0"/>
              </w:rPr>
              <w:t>Ready</w:t>
            </w:r>
          </w:p>
        </w:tc>
      </w:tr>
      <w:tr>
        <w:tc>
          <w:tcPr>
            <w:tcW w:type="dxa" w:w="3389"/>
            <w:vAlign w:val="center"/>
          </w:tcPr>
          <w:p>
            <w:pPr>
              <w:spacing w:after="20" w:before="20"/>
            </w:pPr>
            <w:r/>
            <w:r>
              <w:rPr>
                <w:rFonts w:ascii="Consolas" w:hAnsi="Consolas"/>
                <w:b w:val="0"/>
                <w:i w:val="0"/>
                <w:color w:val="178B8C"/>
                <w:sz w:val="18"/>
              </w:rPr>
              <w:t>screenshots/github_actions.png</w:t>
            </w:r>
          </w:p>
        </w:tc>
        <w:tc>
          <w:tcPr>
            <w:tcW w:type="dxa" w:w="3389"/>
            <w:vAlign w:val="center"/>
          </w:tcPr>
          <w:p>
            <w:pPr>
              <w:spacing w:after="20" w:before="20"/>
            </w:pPr>
            <w:r/>
            <w:r>
              <w:rPr>
                <w:b w:val="0"/>
                <w:i w:val="0"/>
              </w:rPr>
              <w:t>Successful GitHub Actions run</w:t>
            </w:r>
          </w:p>
        </w:tc>
        <w:tc>
          <w:tcPr>
            <w:tcW w:type="dxa" w:w="3389"/>
            <w:vAlign w:val="center"/>
          </w:tcPr>
          <w:p>
            <w:pPr>
              <w:spacing w:after="20" w:before="20"/>
            </w:pPr>
            <w:r/>
            <w:r>
              <w:rPr>
                <w:b w:val="0"/>
                <w:i w:val="0"/>
              </w:rPr>
              <w:t>Ready</w:t>
            </w:r>
          </w:p>
        </w:tc>
      </w:tr>
      <w:tr>
        <w:tc>
          <w:tcPr>
            <w:tcW w:type="dxa" w:w="3389"/>
            <w:vAlign w:val="center"/>
            <w:shd w:fill="EDF3F6"/>
          </w:tcPr>
          <w:p>
            <w:pPr>
              <w:spacing w:after="20" w:before="20"/>
            </w:pPr>
            <w:r/>
            <w:r>
              <w:rPr>
                <w:rFonts w:ascii="Consolas" w:hAnsi="Consolas"/>
                <w:b w:val="0"/>
                <w:i w:val="0"/>
                <w:color w:val="178B8C"/>
                <w:sz w:val="18"/>
              </w:rPr>
              <w:t>screenshots/kubectl get pods.png</w:t>
            </w:r>
          </w:p>
        </w:tc>
        <w:tc>
          <w:tcPr>
            <w:tcW w:type="dxa" w:w="3389"/>
            <w:vAlign w:val="center"/>
            <w:shd w:fill="EDF3F6"/>
          </w:tcPr>
          <w:p>
            <w:pPr>
              <w:spacing w:after="20" w:before="20"/>
            </w:pPr>
            <w:r/>
            <w:r>
              <w:rPr>
                <w:rFonts w:ascii="Consolas" w:hAnsi="Consolas"/>
                <w:b w:val="0"/>
                <w:i w:val="0"/>
                <w:color w:val="178B8C"/>
                <w:sz w:val="18"/>
              </w:rPr>
              <w:t>minikube kubectl -- get pods</w:t>
            </w:r>
            <w:r>
              <w:rPr>
                <w:b w:val="0"/>
                <w:i w:val="0"/>
              </w:rPr>
              <w:t xml:space="preserve"> showing the API and monitoring pods</w:t>
            </w:r>
          </w:p>
        </w:tc>
        <w:tc>
          <w:tcPr>
            <w:tcW w:type="dxa" w:w="3389"/>
            <w:vAlign w:val="center"/>
            <w:shd w:fill="EDF3F6"/>
          </w:tcPr>
          <w:p>
            <w:pPr>
              <w:spacing w:after="20" w:before="20"/>
            </w:pPr>
            <w:r/>
            <w:r>
              <w:rPr>
                <w:b w:val="0"/>
                <w:i w:val="0"/>
              </w:rPr>
              <w:t>Ready</w:t>
            </w:r>
          </w:p>
        </w:tc>
      </w:tr>
      <w:tr>
        <w:tc>
          <w:tcPr>
            <w:tcW w:type="dxa" w:w="3389"/>
            <w:vAlign w:val="center"/>
          </w:tcPr>
          <w:p>
            <w:pPr>
              <w:spacing w:after="20" w:before="20"/>
            </w:pPr>
            <w:r/>
            <w:r>
              <w:rPr>
                <w:rFonts w:ascii="Consolas" w:hAnsi="Consolas"/>
                <w:b w:val="0"/>
                <w:i w:val="0"/>
                <w:color w:val="178B8C"/>
                <w:sz w:val="18"/>
              </w:rPr>
              <w:t>screenshots/grafana.png</w:t>
            </w:r>
          </w:p>
        </w:tc>
        <w:tc>
          <w:tcPr>
            <w:tcW w:type="dxa" w:w="3389"/>
            <w:vAlign w:val="center"/>
          </w:tcPr>
          <w:p>
            <w:pPr>
              <w:spacing w:after="20" w:before="20"/>
            </w:pPr>
            <w:r/>
            <w:r>
              <w:rPr>
                <w:b w:val="0"/>
                <w:i w:val="0"/>
              </w:rPr>
              <w:t>Grafana dashboard with API request and latency panels</w:t>
            </w:r>
          </w:p>
        </w:tc>
        <w:tc>
          <w:tcPr>
            <w:tcW w:type="dxa" w:w="3389"/>
            <w:vAlign w:val="center"/>
          </w:tcPr>
          <w:p>
            <w:pPr>
              <w:spacing w:after="20" w:before="20"/>
            </w:pPr>
            <w:r/>
            <w:r>
              <w:rPr>
                <w:b w:val="0"/>
                <w:i w:val="0"/>
              </w:rPr>
              <w:t>Ready</w:t>
            </w:r>
          </w:p>
        </w:tc>
      </w:tr>
      <w:tr>
        <w:tc>
          <w:tcPr>
            <w:tcW w:type="dxa" w:w="3389"/>
            <w:vAlign w:val="center"/>
            <w:shd w:fill="EDF3F6"/>
          </w:tcPr>
          <w:p>
            <w:pPr>
              <w:spacing w:after="20" w:before="20"/>
            </w:pPr>
            <w:r/>
            <w:r>
              <w:rPr>
                <w:rFonts w:ascii="Consolas" w:hAnsi="Consolas"/>
                <w:b w:val="0"/>
                <w:i w:val="0"/>
                <w:color w:val="178B8C"/>
                <w:sz w:val="18"/>
              </w:rPr>
              <w:t>screenshots/curl_output.png</w:t>
            </w:r>
          </w:p>
        </w:tc>
        <w:tc>
          <w:tcPr>
            <w:tcW w:type="dxa" w:w="3389"/>
            <w:vAlign w:val="center"/>
            <w:shd w:fill="EDF3F6"/>
          </w:tcPr>
          <w:p>
            <w:pPr>
              <w:spacing w:after="20" w:before="20"/>
            </w:pPr>
            <w:r/>
            <w:r>
              <w:rPr>
                <w:b w:val="0"/>
                <w:i w:val="0"/>
              </w:rPr>
              <w:t>Successful prediction response</w:t>
            </w:r>
          </w:p>
        </w:tc>
        <w:tc>
          <w:tcPr>
            <w:tcW w:type="dxa" w:w="3389"/>
            <w:vAlign w:val="center"/>
            <w:shd w:fill="EDF3F6"/>
          </w:tcPr>
          <w:p>
            <w:pPr>
              <w:spacing w:after="20" w:before="20"/>
            </w:pPr>
            <w:r/>
            <w:r>
              <w:rPr>
                <w:b w:val="0"/>
                <w:i w:val="0"/>
              </w:rPr>
              <w:t>Ready</w:t>
            </w:r>
          </w:p>
        </w:tc>
      </w:tr>
    </w:tbl>
    <w:p>
      <w:pPr>
        <w:spacing w:after="20"/>
      </w:pPr>
    </w:p>
    <w:p>
      <w:r>
        <w:rPr>
          <w:b w:val="0"/>
          <w:i w:val="0"/>
        </w:rPr>
        <w:t>Record a 3–5 minute walkthrough showing the architecture and repository, MLflow comparison, successful CI run, API response, four Kubernetes replicas, and Grafana metrics. Export this Markdown report to PDF or DOCX and confirm it is no more than 10 pages. Fill in the student name and repository URL, add the evidence files, and verify the Prometheus target before final submission.</w:t>
      </w:r>
    </w:p>
    <w:p>
      <w:r>
        <w:br w:type="page"/>
      </w:r>
    </w:p>
    <w:p>
      <w:pPr>
        <w:pStyle w:val="Heading1"/>
      </w:pPr>
      <w:r>
        <w:t>Appendix A. Deployment and Monitoring Evidence</w:t>
      </w:r>
    </w:p>
    <w:p>
      <w:r>
        <w:t>Screenshots captured from the project workflow and local Minikube environment.</w:t>
      </w:r>
    </w:p>
    <w:p>
      <w:pPr>
        <w:spacing w:before="40" w:after="40"/>
        <w:jc w:val="center"/>
      </w:pPr>
      <w:r>
        <w:drawing>
          <wp:inline xmlns:a="http://schemas.openxmlformats.org/drawingml/2006/main" xmlns:pic="http://schemas.openxmlformats.org/drawingml/2006/picture">
            <wp:extent cx="6263640" cy="2595652"/>
            <wp:docPr id="3" name="Picture 3"/>
            <wp:cNvGraphicFramePr>
              <a:graphicFrameLocks noChangeAspect="1"/>
            </wp:cNvGraphicFramePr>
            <a:graphic>
              <a:graphicData uri="http://schemas.openxmlformats.org/drawingml/2006/picture">
                <pic:pic>
                  <pic:nvPicPr>
                    <pic:cNvPr id="0" name="github_actions.png"/>
                    <pic:cNvPicPr/>
                  </pic:nvPicPr>
                  <pic:blipFill>
                    <a:blip r:embed="rId13"/>
                    <a:stretch>
                      <a:fillRect/>
                    </a:stretch>
                  </pic:blipFill>
                  <pic:spPr>
                    <a:xfrm>
                      <a:off x="0" y="0"/>
                      <a:ext cx="6263640" cy="2595652"/>
                    </a:xfrm>
                    <a:prstGeom prst="rect"/>
                  </pic:spPr>
                </pic:pic>
              </a:graphicData>
            </a:graphic>
          </wp:inline>
        </w:drawing>
      </w:r>
    </w:p>
    <w:p>
      <w:pPr>
        <w:spacing w:after="140"/>
        <w:jc w:val="center"/>
      </w:pPr>
      <w:r>
        <w:rPr>
          <w:i/>
          <w:color w:val="647784"/>
          <w:sz w:val="16"/>
        </w:rPr>
        <w:t>GitHub Actions: test-and-lint and train-and-build succeeded.</w:t>
      </w:r>
    </w:p>
    <w:p>
      <w:pPr>
        <w:spacing w:before="40" w:after="40"/>
        <w:jc w:val="center"/>
      </w:pPr>
      <w:r>
        <w:drawing>
          <wp:inline xmlns:a="http://schemas.openxmlformats.org/drawingml/2006/main" xmlns:pic="http://schemas.openxmlformats.org/drawingml/2006/picture">
            <wp:extent cx="4124960" cy="2651760"/>
            <wp:docPr id="4" name="Picture 4"/>
            <wp:cNvGraphicFramePr>
              <a:graphicFrameLocks noChangeAspect="1"/>
            </wp:cNvGraphicFramePr>
            <a:graphic>
              <a:graphicData uri="http://schemas.openxmlformats.org/drawingml/2006/picture">
                <pic:pic>
                  <pic:nvPicPr>
                    <pic:cNvPr id="0" name="kubectl get pods.png"/>
                    <pic:cNvPicPr/>
                  </pic:nvPicPr>
                  <pic:blipFill>
                    <a:blip r:embed="rId14"/>
                    <a:stretch>
                      <a:fillRect/>
                    </a:stretch>
                  </pic:blipFill>
                  <pic:spPr>
                    <a:xfrm>
                      <a:off x="0" y="0"/>
                      <a:ext cx="4124960" cy="2651760"/>
                    </a:xfrm>
                    <a:prstGeom prst="rect"/>
                  </pic:spPr>
                </pic:pic>
              </a:graphicData>
            </a:graphic>
          </wp:inline>
        </w:drawing>
      </w:r>
    </w:p>
    <w:p>
      <w:pPr>
        <w:spacing w:after="140"/>
        <w:jc w:val="center"/>
      </w:pPr>
      <w:r>
        <w:rPr>
          <w:i/>
          <w:color w:val="647784"/>
          <w:sz w:val="16"/>
        </w:rPr>
        <w:t>Minikube: four API replicas and monitoring pods are ready.</w:t>
      </w:r>
    </w:p>
    <w:p>
      <w:r>
        <w:br w:type="page"/>
      </w:r>
    </w:p>
    <w:p>
      <w:pPr>
        <w:spacing w:before="40" w:after="40"/>
        <w:jc w:val="center"/>
      </w:pPr>
      <w:r>
        <w:drawing>
          <wp:inline xmlns:a="http://schemas.openxmlformats.org/drawingml/2006/main" xmlns:pic="http://schemas.openxmlformats.org/drawingml/2006/picture">
            <wp:extent cx="5202578" cy="2651760"/>
            <wp:docPr id="5" name="Picture 5"/>
            <wp:cNvGraphicFramePr>
              <a:graphicFrameLocks noChangeAspect="1"/>
            </wp:cNvGraphicFramePr>
            <a:graphic>
              <a:graphicData uri="http://schemas.openxmlformats.org/drawingml/2006/picture">
                <pic:pic>
                  <pic:nvPicPr>
                    <pic:cNvPr id="0" name="grafana.png"/>
                    <pic:cNvPicPr/>
                  </pic:nvPicPr>
                  <pic:blipFill>
                    <a:blip r:embed="rId15"/>
                    <a:stretch>
                      <a:fillRect/>
                    </a:stretch>
                  </pic:blipFill>
                  <pic:spPr>
                    <a:xfrm>
                      <a:off x="0" y="0"/>
                      <a:ext cx="5202578" cy="2651760"/>
                    </a:xfrm>
                    <a:prstGeom prst="rect"/>
                  </pic:spPr>
                </pic:pic>
              </a:graphicData>
            </a:graphic>
          </wp:inline>
        </w:drawing>
      </w:r>
    </w:p>
    <w:p>
      <w:pPr>
        <w:spacing w:after="140"/>
        <w:jc w:val="center"/>
      </w:pPr>
      <w:r>
        <w:rPr>
          <w:i/>
          <w:color w:val="647784"/>
          <w:sz w:val="16"/>
        </w:rPr>
        <w:t>Grafana: request-rate and P95-latency panels.</w:t>
      </w:r>
    </w:p>
    <w:p>
      <w:pPr>
        <w:spacing w:before="40" w:after="40"/>
        <w:jc w:val="center"/>
      </w:pPr>
      <w:r>
        <w:drawing>
          <wp:inline xmlns:a="http://schemas.openxmlformats.org/drawingml/2006/main" xmlns:pic="http://schemas.openxmlformats.org/drawingml/2006/picture">
            <wp:extent cx="5082988" cy="2651760"/>
            <wp:docPr id="6" name="Picture 6"/>
            <wp:cNvGraphicFramePr>
              <a:graphicFrameLocks noChangeAspect="1"/>
            </wp:cNvGraphicFramePr>
            <a:graphic>
              <a:graphicData uri="http://schemas.openxmlformats.org/drawingml/2006/picture">
                <pic:pic>
                  <pic:nvPicPr>
                    <pic:cNvPr id="0" name="promethus.png"/>
                    <pic:cNvPicPr/>
                  </pic:nvPicPr>
                  <pic:blipFill>
                    <a:blip r:embed="rId16"/>
                    <a:stretch>
                      <a:fillRect/>
                    </a:stretch>
                  </pic:blipFill>
                  <pic:spPr>
                    <a:xfrm>
                      <a:off x="0" y="0"/>
                      <a:ext cx="5082988" cy="2651760"/>
                    </a:xfrm>
                    <a:prstGeom prst="rect"/>
                  </pic:spPr>
                </pic:pic>
              </a:graphicData>
            </a:graphic>
          </wp:inline>
        </w:drawing>
      </w:r>
    </w:p>
    <w:p>
      <w:pPr>
        <w:spacing w:after="140"/>
        <w:jc w:val="center"/>
      </w:pPr>
      <w:r>
        <w:rPr>
          <w:i/>
          <w:color w:val="647784"/>
          <w:sz w:val="16"/>
        </w:rPr>
        <w:t>Prometheus: heart-api scrape target is UP.</w:t>
      </w:r>
    </w:p>
    <w:p>
      <w:r>
        <w:br w:type="page"/>
      </w:r>
    </w:p>
    <w:p>
      <w:pPr>
        <w:spacing w:before="40" w:after="40"/>
        <w:jc w:val="center"/>
      </w:pPr>
      <w:r>
        <w:drawing>
          <wp:inline xmlns:a="http://schemas.openxmlformats.org/drawingml/2006/main" xmlns:pic="http://schemas.openxmlformats.org/drawingml/2006/picture">
            <wp:extent cx="5886215" cy="2651759"/>
            <wp:docPr id="7" name="Picture 7"/>
            <wp:cNvGraphicFramePr>
              <a:graphicFrameLocks noChangeAspect="1"/>
            </wp:cNvGraphicFramePr>
            <a:graphic>
              <a:graphicData uri="http://schemas.openxmlformats.org/drawingml/2006/picture">
                <pic:pic>
                  <pic:nvPicPr>
                    <pic:cNvPr id="0" name="curl_output.png"/>
                    <pic:cNvPicPr/>
                  </pic:nvPicPr>
                  <pic:blipFill>
                    <a:blip r:embed="rId17"/>
                    <a:stretch>
                      <a:fillRect/>
                    </a:stretch>
                  </pic:blipFill>
                  <pic:spPr>
                    <a:xfrm>
                      <a:off x="0" y="0"/>
                      <a:ext cx="5886215" cy="2651759"/>
                    </a:xfrm>
                    <a:prstGeom prst="rect"/>
                  </pic:spPr>
                </pic:pic>
              </a:graphicData>
            </a:graphic>
          </wp:inline>
        </w:drawing>
      </w:r>
    </w:p>
    <w:p>
      <w:pPr>
        <w:spacing w:after="140"/>
        <w:jc w:val="center"/>
      </w:pPr>
      <w:r>
        <w:rPr>
          <w:i/>
          <w:color w:val="647784"/>
          <w:sz w:val="16"/>
        </w:rPr>
        <w:t>API prediction response for the sample request.</w:t>
      </w:r>
    </w:p>
    <w:p>
      <w:pPr>
        <w:spacing w:before="40" w:after="40"/>
        <w:jc w:val="center"/>
      </w:pPr>
      <w:r>
        <w:drawing>
          <wp:inline xmlns:a="http://schemas.openxmlformats.org/drawingml/2006/main" xmlns:pic="http://schemas.openxmlformats.org/drawingml/2006/picture">
            <wp:extent cx="5283918" cy="2651760"/>
            <wp:docPr id="8" name="Picture 8"/>
            <wp:cNvGraphicFramePr>
              <a:graphicFrameLocks noChangeAspect="1"/>
            </wp:cNvGraphicFramePr>
            <a:graphic>
              <a:graphicData uri="http://schemas.openxmlformats.org/drawingml/2006/picture">
                <pic:pic>
                  <pic:nvPicPr>
                    <pic:cNvPr id="0" name="grafanaDataSourceWorking.png"/>
                    <pic:cNvPicPr/>
                  </pic:nvPicPr>
                  <pic:blipFill>
                    <a:blip r:embed="rId18"/>
                    <a:stretch>
                      <a:fillRect/>
                    </a:stretch>
                  </pic:blipFill>
                  <pic:spPr>
                    <a:xfrm>
                      <a:off x="0" y="0"/>
                      <a:ext cx="5283918" cy="2651760"/>
                    </a:xfrm>
                    <a:prstGeom prst="rect"/>
                  </pic:spPr>
                </pic:pic>
              </a:graphicData>
            </a:graphic>
          </wp:inline>
        </w:drawing>
      </w:r>
    </w:p>
    <w:p>
      <w:pPr>
        <w:spacing w:after="140"/>
        <w:jc w:val="center"/>
      </w:pPr>
      <w:r>
        <w:rPr>
          <w:i/>
          <w:color w:val="647784"/>
          <w:sz w:val="16"/>
        </w:rPr>
        <w:t>Grafana data-source connectivity verification.</w:t>
      </w:r>
    </w:p>
    <w:sectPr w:rsidR="00FC693F" w:rsidRPr="0006063C" w:rsidSect="00034616">
      <w:headerReference w:type="default" r:id="rId9"/>
      <w:footerReference w:type="default" r:id="rId10"/>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784"/>
        <w:sz w:val="16"/>
      </w:rPr>
      <w:t xml:space="preserve">Hussain Badri  ·  2025AF05063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784"/>
        <w:sz w:val="16"/>
      </w:rPr>
      <w:t>MLOPS ASSIGNMENT 1  |  HEART DISEASE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93B5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78B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93B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Heart Disease Prediction</dc:title>
  <dc:subject>MLOps project report and evidence</dc:subject>
  <dc:creator>Hussain Badri</dc:creator>
  <cp:keywords/>
  <dc:description>generated by python-docx</dc:description>
  <cp:lastModifiedBy/>
  <cp:revision>1</cp:revision>
  <dcterms:created xsi:type="dcterms:W3CDTF">2013-12-23T23:15:00Z</dcterms:created>
  <dcterms:modified xsi:type="dcterms:W3CDTF">2013-12-23T23:15:00Z</dcterms:modified>
  <cp:category/>
</cp:coreProperties>
</file>