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rFonts w:ascii="Aptos" w:hAnsi="Aptos"/>
          <w:b/>
          <w:color w:val="2F6690"/>
          <w:sz w:val="17"/>
        </w:rPr>
        <w:t>MACHINE LEARNING OPERATIONS  |  ASSIGNMENT 01  |  OCTOBER 2026</w:t>
      </w:r>
    </w:p>
    <w:p>
      <w:pPr>
        <w:pStyle w:val="Title"/>
        <w:spacing w:before="900" w:after="160"/>
      </w:pPr>
      <w:r>
        <w:rPr>
          <w:rFonts w:ascii="Aptos" w:hAnsi="Aptos"/>
          <w:b/>
          <w:color w:val="000000"/>
          <w:sz w:val="54"/>
        </w:rPr>
        <w:t>Heart Disease Classification</w:t>
      </w:r>
    </w:p>
    <w:p>
      <w:pPr>
        <w:keepNext/>
        <w:spacing w:before="0" w:after="440" w:line="269" w:lineRule="auto"/>
      </w:pPr>
      <w:r>
        <w:rPr>
          <w:rFonts w:ascii="Aptos" w:hAnsi="Aptos"/>
          <w:b w:val="0"/>
          <w:color w:val="53616F"/>
          <w:sz w:val="30"/>
        </w:rPr>
        <w:t>An end-to-end MLOps workflow for the UCI Cleveland dataset</w:t>
      </w:r>
    </w:p>
    <w:tbl>
      <w:tblPr>
        <w:tblStyle w:val="TableGrid"/>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98"/>
        <w:gridCol w:w="2498"/>
        <w:gridCol w:w="2498"/>
        <w:gridCol w:w="2498"/>
      </w:tblGrid>
      <w:tr>
        <w:tc>
          <w:tcPr>
            <w:tcW w:type="dxa" w:w="2376"/>
            <w:vAlign w:val="center"/>
            <w:shd w:fill="17324D"/>
            <w:tcMar>
              <w:top w:w="100" w:type="dxa"/>
              <w:start w:w="120" w:type="dxa"/>
              <w:bottom w:w="100" w:type="dxa"/>
              <w:end w:w="120" w:type="dxa"/>
            </w:tcMar>
          </w:tcPr>
          <w:p>
            <w:r>
              <w:rPr>
                <w:rFonts w:ascii="Aptos" w:hAnsi="Aptos"/>
                <w:b/>
                <w:color w:val="FFFFFF"/>
                <w:sz w:val="18"/>
              </w:rPr>
              <w:t>Course</w:t>
            </w:r>
          </w:p>
        </w:tc>
        <w:tc>
          <w:tcPr>
            <w:tcW w:type="dxa" w:w="2952"/>
            <w:vAlign w:val="center"/>
            <w:shd w:fill="17324D"/>
            <w:tcMar>
              <w:top w:w="100" w:type="dxa"/>
              <w:start w:w="120" w:type="dxa"/>
              <w:bottom w:w="100" w:type="dxa"/>
              <w:end w:w="120" w:type="dxa"/>
            </w:tcMar>
          </w:tcPr>
          <w:p>
            <w:r>
              <w:rPr>
                <w:rFonts w:ascii="Aptos" w:hAnsi="Aptos"/>
                <w:b/>
                <w:color w:val="FFFFFF"/>
                <w:sz w:val="18"/>
              </w:rPr>
              <w:t>Dataset</w:t>
            </w:r>
          </w:p>
        </w:tc>
        <w:tc>
          <w:tcPr>
            <w:tcW w:type="dxa" w:w="1440"/>
            <w:vAlign w:val="center"/>
            <w:shd w:fill="17324D"/>
            <w:tcMar>
              <w:top w:w="100" w:type="dxa"/>
              <w:start w:w="120" w:type="dxa"/>
              <w:bottom w:w="100" w:type="dxa"/>
              <w:end w:w="120" w:type="dxa"/>
            </w:tcMar>
          </w:tcPr>
          <w:p>
            <w:r>
              <w:rPr>
                <w:rFonts w:ascii="Aptos" w:hAnsi="Aptos"/>
                <w:b/>
                <w:color w:val="FFFFFF"/>
                <w:sz w:val="18"/>
              </w:rPr>
              <w:t>Records</w:t>
            </w:r>
          </w:p>
        </w:tc>
        <w:tc>
          <w:tcPr>
            <w:tcW w:type="dxa" w:w="3024"/>
            <w:vAlign w:val="center"/>
            <w:shd w:fill="17324D"/>
            <w:tcMar>
              <w:top w:w="100" w:type="dxa"/>
              <w:start w:w="120" w:type="dxa"/>
              <w:bottom w:w="100" w:type="dxa"/>
              <w:end w:w="120" w:type="dxa"/>
            </w:tcMar>
          </w:tcPr>
          <w:p>
            <w:r>
              <w:rPr>
                <w:rFonts w:ascii="Aptos" w:hAnsi="Aptos"/>
                <w:b/>
                <w:color w:val="FFFFFF"/>
                <w:sz w:val="18"/>
              </w:rPr>
              <w:t>Target</w:t>
            </w:r>
          </w:p>
        </w:tc>
      </w:tr>
      <w:tr>
        <w:tc>
          <w:tcPr>
            <w:tcW w:type="dxa" w:w="2376"/>
            <w:vAlign w:val="center"/>
            <w:tcMar>
              <w:top w:w="100" w:type="dxa"/>
              <w:start w:w="120" w:type="dxa"/>
              <w:bottom w:w="100" w:type="dxa"/>
              <w:end w:w="120" w:type="dxa"/>
            </w:tcMar>
          </w:tcPr>
          <w:p>
            <w:pPr>
              <w:spacing w:after="0"/>
            </w:pPr>
            <w:r>
              <w:rPr>
                <w:rFonts w:ascii="Aptos" w:hAnsi="Aptos"/>
                <w:b w:val="0"/>
                <w:color w:val="263238"/>
                <w:sz w:val="18"/>
              </w:rPr>
              <w:t>MLOps AIMLCZG523</w:t>
            </w:r>
          </w:p>
        </w:tc>
        <w:tc>
          <w:tcPr>
            <w:tcW w:type="dxa" w:w="2952"/>
            <w:vAlign w:val="center"/>
            <w:tcMar>
              <w:top w:w="100" w:type="dxa"/>
              <w:start w:w="120" w:type="dxa"/>
              <w:bottom w:w="100" w:type="dxa"/>
              <w:end w:w="120" w:type="dxa"/>
            </w:tcMar>
          </w:tcPr>
          <w:p>
            <w:pPr>
              <w:spacing w:after="0"/>
            </w:pPr>
            <w:r>
              <w:rPr>
                <w:rFonts w:ascii="Aptos" w:hAnsi="Aptos"/>
                <w:b w:val="0"/>
                <w:color w:val="263238"/>
                <w:sz w:val="18"/>
              </w:rPr>
              <w:t>UCI Heart Disease</w:t>
            </w:r>
          </w:p>
        </w:tc>
        <w:tc>
          <w:tcPr>
            <w:tcW w:type="dxa" w:w="1440"/>
            <w:vAlign w:val="center"/>
            <w:tcMar>
              <w:top w:w="100" w:type="dxa"/>
              <w:start w:w="120" w:type="dxa"/>
              <w:bottom w:w="100" w:type="dxa"/>
              <w:end w:w="120" w:type="dxa"/>
            </w:tcMar>
          </w:tcPr>
          <w:p>
            <w:pPr>
              <w:spacing w:after="0"/>
            </w:pPr>
            <w:r>
              <w:rPr>
                <w:rFonts w:ascii="Aptos" w:hAnsi="Aptos"/>
                <w:b w:val="0"/>
                <w:color w:val="263238"/>
                <w:sz w:val="18"/>
              </w:rPr>
              <w:t>303</w:t>
            </w:r>
          </w:p>
        </w:tc>
        <w:tc>
          <w:tcPr>
            <w:tcW w:type="dxa" w:w="3024"/>
            <w:vAlign w:val="center"/>
            <w:tcMar>
              <w:top w:w="100" w:type="dxa"/>
              <w:start w:w="120" w:type="dxa"/>
              <w:bottom w:w="100" w:type="dxa"/>
              <w:end w:w="120" w:type="dxa"/>
            </w:tcMar>
          </w:tcPr>
          <w:p>
            <w:pPr>
              <w:spacing w:after="0"/>
            </w:pPr>
            <w:r>
              <w:rPr>
                <w:rFonts w:ascii="Aptos" w:hAnsi="Aptos"/>
                <w:b w:val="0"/>
                <w:color w:val="263238"/>
                <w:sz w:val="18"/>
              </w:rPr>
              <w:t>Diagnosis &gt; 0</w:t>
            </w:r>
          </w:p>
        </w:tc>
      </w:tr>
    </w:tbl>
    <w:p>
      <w:pPr>
        <w:pStyle w:val="Heading1"/>
        <w:keepNext/>
        <w:spacing w:before="100" w:after="140"/>
      </w:pPr>
      <w:r>
        <w:rPr>
          <w:rFonts w:ascii="Aptos" w:hAnsi="Aptos"/>
          <w:b/>
          <w:color w:val="000000"/>
          <w:sz w:val="34"/>
        </w:rPr>
        <w:t>Executive summary</w:t>
      </w:r>
    </w:p>
    <w:p>
      <w:pPr>
        <w:spacing w:before="0" w:after="120" w:line="269" w:lineRule="auto"/>
      </w:pPr>
      <w:r>
        <w:rPr>
          <w:rFonts w:ascii="Aptos" w:hAnsi="Aptos"/>
          <w:b w:val="0"/>
          <w:color w:val="263238"/>
          <w:sz w:val="21"/>
        </w:rPr>
        <w:t>This project builds a repeatable path from the supplied clinical data to a model-backed API. The source diagnosis is recoded as absence (0) versus presence (1). A single sklearn pipeline owns missing-value handling, feature scaling, categorical encoding, and classification so training and inference share the same transformations. Logistic Regression and Random Forest are tuned with stratified cross-validation; mean cross-validation ROC-AUC selects the model. The trained artifact is served by FastAPI, while MLflow records experiments and Prometheus metrics feed a provisioned Grafana dashboard.</w:t>
      </w:r>
    </w:p>
    <w:p>
      <w:pPr>
        <w:spacing w:before="0" w:after="120" w:line="269" w:lineRule="auto"/>
      </w:pPr>
      <w:r>
        <w:rPr>
          <w:rFonts w:ascii="Aptos" w:hAnsi="Aptos"/>
          <w:b w:val="0"/>
          <w:color w:val="53616F"/>
          <w:sz w:val="19"/>
        </w:rPr>
        <w:t>This report records measured model results and local runtime checks. Docker Compose served health and prediction requests, Prometheus reported the API target as UP, and Grafana received metrics. Docker Desktop Kind ran two API replicas, with health, prediction, and metrics verified through kubectl port-forward. No public cloud endpoint is used.</w:t>
      </w:r>
    </w:p>
    <w:p>
      <w:r>
        <w:drawing>
          <wp:inline xmlns:a="http://schemas.openxmlformats.org/drawingml/2006/main" xmlns:pic="http://schemas.openxmlformats.org/drawingml/2006/picture">
            <wp:extent cx="6263640" cy="1510643"/>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263640" cy="1510643"/>
                    </a:xfrm>
                    <a:prstGeom prst="rect"/>
                  </pic:spPr>
                </pic:pic>
              </a:graphicData>
            </a:graphic>
          </wp:inline>
        </w:drawing>
      </w:r>
    </w:p>
    <w:p>
      <w:pPr>
        <w:spacing w:before="0" w:after="0" w:line="269" w:lineRule="auto"/>
      </w:pPr>
      <w:r>
        <w:rPr>
          <w:rFonts w:ascii="Aptos" w:hAnsi="Aptos"/>
          <w:b w:val="0"/>
          <w:color w:val="53616F"/>
          <w:sz w:val="17"/>
        </w:rPr>
        <w:t>Figure 1. Data, training, serving, and monitoring architecture.</w:t>
      </w:r>
    </w:p>
    <w:p>
      <w:r>
        <w:br w:type="page"/>
      </w:r>
    </w:p>
    <w:p>
      <w:pPr>
        <w:spacing w:after="100"/>
      </w:pPr>
      <w:r>
        <w:rPr>
          <w:rFonts w:ascii="Aptos" w:hAnsi="Aptos"/>
          <w:b/>
          <w:color w:val="2F6690"/>
          <w:sz w:val="17"/>
        </w:rPr>
        <w:t>01  |  DATA ACQUISITION</w:t>
      </w:r>
    </w:p>
    <w:p>
      <w:pPr>
        <w:pStyle w:val="Heading1"/>
        <w:keepNext/>
        <w:spacing w:before="100" w:after="140"/>
      </w:pPr>
      <w:r>
        <w:rPr>
          <w:rFonts w:ascii="Aptos" w:hAnsi="Aptos"/>
          <w:b/>
          <w:color w:val="000000"/>
          <w:sz w:val="34"/>
        </w:rPr>
        <w:t>Dataset and data contract</w:t>
      </w:r>
    </w:p>
    <w:p>
      <w:pPr>
        <w:spacing w:before="0" w:after="120" w:line="269" w:lineRule="auto"/>
      </w:pPr>
      <w:r>
        <w:rPr>
          <w:rFonts w:ascii="Aptos" w:hAnsi="Aptos"/>
          <w:b w:val="0"/>
          <w:color w:val="263238"/>
          <w:sz w:val="21"/>
        </w:rPr>
        <w:t>The project uses the processed Cleveland subset in the UCI Heart Disease archive. The legacy file has 14 comma-separated fields without a header: 13 predictors and one diagnosis value. The supplied archive is retained at the workspace root; data/raw/processed.cleveland.data is the focused input used by the scripts. The download helper fetches the UCI ZIP and extracts only this named member, printing SHA-256 hashes for provenance.</w:t>
      </w:r>
    </w:p>
    <w:p>
      <w:pPr>
        <w:spacing w:before="0" w:after="120" w:line="269" w:lineRule="auto"/>
      </w:pPr>
      <w:r>
        <w:rPr>
          <w:rFonts w:ascii="Aptos" w:hAnsi="Aptos"/>
          <w:b w:val="0"/>
          <w:color w:val="53616F"/>
          <w:sz w:val="18"/>
        </w:rPr>
        <w:t>Acquisition was run from the UCI endpoint. The downloaded archive SHA-256 matched the supplied archive (b17cd273da9ce1caa4710fce80227ea454d4dbf9fcbc8e6a9121672751563adc); the extracted Cleveland file hash is a74b7efa387bc9d108d7d0115d831fe9b414b29ae7124f331b622b4efa0427c8.</w:t>
      </w:r>
    </w:p>
    <w:tbl>
      <w:tblPr>
        <w:tblStyle w:val="TableGrid"/>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c>
          <w:tcPr>
            <w:tcW w:type="dxa" w:w="2088"/>
            <w:vAlign w:val="center"/>
            <w:shd w:fill="17324D"/>
            <w:tcMar>
              <w:top w:w="100" w:type="dxa"/>
              <w:start w:w="120" w:type="dxa"/>
              <w:bottom w:w="100" w:type="dxa"/>
              <w:end w:w="120" w:type="dxa"/>
            </w:tcMar>
          </w:tcPr>
          <w:p>
            <w:r>
              <w:rPr>
                <w:rFonts w:ascii="Aptos" w:hAnsi="Aptos"/>
                <w:b/>
                <w:color w:val="FFFFFF"/>
                <w:sz w:val="17"/>
              </w:rPr>
              <w:t>Data check</w:t>
            </w:r>
          </w:p>
        </w:tc>
        <w:tc>
          <w:tcPr>
            <w:tcW w:type="dxa" w:w="2520"/>
            <w:vAlign w:val="center"/>
            <w:shd w:fill="17324D"/>
            <w:tcMar>
              <w:top w:w="100" w:type="dxa"/>
              <w:start w:w="120" w:type="dxa"/>
              <w:bottom w:w="100" w:type="dxa"/>
              <w:end w:w="120" w:type="dxa"/>
            </w:tcMar>
          </w:tcPr>
          <w:p>
            <w:r>
              <w:rPr>
                <w:rFonts w:ascii="Aptos" w:hAnsi="Aptos"/>
                <w:b/>
                <w:color w:val="FFFFFF"/>
                <w:sz w:val="17"/>
              </w:rPr>
              <w:t>Observed</w:t>
            </w:r>
          </w:p>
        </w:tc>
        <w:tc>
          <w:tcPr>
            <w:tcW w:type="dxa" w:w="5184"/>
            <w:vAlign w:val="center"/>
            <w:shd w:fill="17324D"/>
            <w:tcMar>
              <w:top w:w="100" w:type="dxa"/>
              <w:start w:w="120" w:type="dxa"/>
              <w:bottom w:w="100" w:type="dxa"/>
              <w:end w:w="120" w:type="dxa"/>
            </w:tcMar>
          </w:tcPr>
          <w:p>
            <w:r>
              <w:rPr>
                <w:rFonts w:ascii="Aptos" w:hAnsi="Aptos"/>
                <w:b/>
                <w:color w:val="FFFFFF"/>
                <w:sz w:val="17"/>
              </w:rPr>
              <w:t>Handling</w:t>
            </w:r>
          </w:p>
        </w:tc>
      </w:tr>
      <w:tr>
        <w:tc>
          <w:tcPr>
            <w:tcW w:type="dxa" w:w="2088"/>
            <w:vAlign w:val="center"/>
            <w:tcMar>
              <w:top w:w="100" w:type="dxa"/>
              <w:start w:w="120" w:type="dxa"/>
              <w:bottom w:w="100" w:type="dxa"/>
              <w:end w:w="120" w:type="dxa"/>
            </w:tcMar>
          </w:tcPr>
          <w:p>
            <w:pPr>
              <w:spacing w:after="0"/>
            </w:pPr>
            <w:r>
              <w:rPr>
                <w:rFonts w:ascii="Aptos" w:hAnsi="Aptos"/>
                <w:b w:val="0"/>
                <w:color w:val="263238"/>
                <w:sz w:val="17"/>
              </w:rPr>
              <w:t>Records</w:t>
            </w:r>
          </w:p>
        </w:tc>
        <w:tc>
          <w:tcPr>
            <w:tcW w:type="dxa" w:w="2520"/>
            <w:vAlign w:val="center"/>
            <w:tcMar>
              <w:top w:w="100" w:type="dxa"/>
              <w:start w:w="120" w:type="dxa"/>
              <w:bottom w:w="100" w:type="dxa"/>
              <w:end w:w="120" w:type="dxa"/>
            </w:tcMar>
          </w:tcPr>
          <w:p>
            <w:pPr>
              <w:spacing w:after="0"/>
            </w:pPr>
            <w:r>
              <w:rPr>
                <w:rFonts w:ascii="Aptos" w:hAnsi="Aptos"/>
                <w:b w:val="0"/>
                <w:color w:val="263238"/>
                <w:sz w:val="17"/>
              </w:rPr>
              <w:t>303</w:t>
            </w:r>
          </w:p>
        </w:tc>
        <w:tc>
          <w:tcPr>
            <w:tcW w:type="dxa" w:w="5184"/>
            <w:vAlign w:val="center"/>
            <w:tcMar>
              <w:top w:w="100" w:type="dxa"/>
              <w:start w:w="120" w:type="dxa"/>
              <w:bottom w:w="100" w:type="dxa"/>
              <w:end w:w="120" w:type="dxa"/>
            </w:tcMar>
          </w:tcPr>
          <w:p>
            <w:pPr>
              <w:spacing w:after="0"/>
            </w:pPr>
            <w:r>
              <w:rPr>
                <w:rFonts w:ascii="Aptos" w:hAnsi="Aptos"/>
                <w:b w:val="0"/>
                <w:color w:val="263238"/>
                <w:sz w:val="17"/>
              </w:rPr>
              <w:t>Keep usable diagnosis rows</w:t>
            </w:r>
          </w:p>
        </w:tc>
      </w:tr>
      <w:tr>
        <w:tc>
          <w:tcPr>
            <w:tcW w:type="dxa" w:w="2088"/>
            <w:vAlign w:val="center"/>
            <w:tcMar>
              <w:top w:w="100" w:type="dxa"/>
              <w:start w:w="120" w:type="dxa"/>
              <w:bottom w:w="100" w:type="dxa"/>
              <w:end w:w="120" w:type="dxa"/>
            </w:tcMar>
            <w:shd w:fill="F3F6F9"/>
          </w:tcPr>
          <w:p>
            <w:pPr>
              <w:spacing w:after="0"/>
            </w:pPr>
            <w:r>
              <w:rPr>
                <w:rFonts w:ascii="Aptos" w:hAnsi="Aptos"/>
                <w:b w:val="0"/>
                <w:color w:val="263238"/>
                <w:sz w:val="17"/>
              </w:rPr>
              <w:t>Predictors</w:t>
            </w:r>
          </w:p>
        </w:tc>
        <w:tc>
          <w:tcPr>
            <w:tcW w:type="dxa" w:w="2520"/>
            <w:vAlign w:val="center"/>
            <w:tcMar>
              <w:top w:w="100" w:type="dxa"/>
              <w:start w:w="120" w:type="dxa"/>
              <w:bottom w:w="100" w:type="dxa"/>
              <w:end w:w="120" w:type="dxa"/>
            </w:tcMar>
            <w:shd w:fill="F3F6F9"/>
          </w:tcPr>
          <w:p>
            <w:pPr>
              <w:spacing w:after="0"/>
            </w:pPr>
            <w:r>
              <w:rPr>
                <w:rFonts w:ascii="Aptos" w:hAnsi="Aptos"/>
                <w:b w:val="0"/>
                <w:color w:val="263238"/>
                <w:sz w:val="17"/>
              </w:rPr>
              <w:t>13 clinical fields</w:t>
            </w:r>
          </w:p>
        </w:tc>
        <w:tc>
          <w:tcPr>
            <w:tcW w:type="dxa" w:w="5184"/>
            <w:vAlign w:val="center"/>
            <w:tcMar>
              <w:top w:w="100" w:type="dxa"/>
              <w:start w:w="120" w:type="dxa"/>
              <w:bottom w:w="100" w:type="dxa"/>
              <w:end w:w="120" w:type="dxa"/>
            </w:tcMar>
            <w:shd w:fill="F3F6F9"/>
          </w:tcPr>
          <w:p>
            <w:pPr>
              <w:spacing w:after="0"/>
            </w:pPr>
            <w:r>
              <w:rPr>
                <w:rFonts w:ascii="Aptos" w:hAnsi="Aptos"/>
                <w:b w:val="0"/>
                <w:color w:val="263238"/>
                <w:sz w:val="17"/>
              </w:rPr>
              <w:t>Preserve source order and names</w:t>
            </w:r>
          </w:p>
        </w:tc>
      </w:tr>
      <w:tr>
        <w:tc>
          <w:tcPr>
            <w:tcW w:type="dxa" w:w="2088"/>
            <w:vAlign w:val="center"/>
            <w:tcMar>
              <w:top w:w="100" w:type="dxa"/>
              <w:start w:w="120" w:type="dxa"/>
              <w:bottom w:w="100" w:type="dxa"/>
              <w:end w:w="120" w:type="dxa"/>
            </w:tcMar>
          </w:tcPr>
          <w:p>
            <w:pPr>
              <w:spacing w:after="0"/>
            </w:pPr>
            <w:r>
              <w:rPr>
                <w:rFonts w:ascii="Aptos" w:hAnsi="Aptos"/>
                <w:b w:val="0"/>
                <w:color w:val="263238"/>
                <w:sz w:val="17"/>
              </w:rPr>
              <w:t>Unknown values</w:t>
            </w:r>
          </w:p>
        </w:tc>
        <w:tc>
          <w:tcPr>
            <w:tcW w:type="dxa" w:w="2520"/>
            <w:vAlign w:val="center"/>
            <w:tcMar>
              <w:top w:w="100" w:type="dxa"/>
              <w:start w:w="120" w:type="dxa"/>
              <w:bottom w:w="100" w:type="dxa"/>
              <w:end w:w="120" w:type="dxa"/>
            </w:tcMar>
          </w:tcPr>
          <w:p>
            <w:pPr>
              <w:spacing w:after="0"/>
            </w:pPr>
            <w:r>
              <w:rPr>
                <w:rFonts w:ascii="Aptos" w:hAnsi="Aptos"/>
                <w:b w:val="0"/>
                <w:color w:val="263238"/>
                <w:sz w:val="17"/>
              </w:rPr>
              <w:t>6</w:t>
            </w:r>
          </w:p>
        </w:tc>
        <w:tc>
          <w:tcPr>
            <w:tcW w:type="dxa" w:w="5184"/>
            <w:vAlign w:val="center"/>
            <w:tcMar>
              <w:top w:w="100" w:type="dxa"/>
              <w:start w:w="120" w:type="dxa"/>
              <w:bottom w:w="100" w:type="dxa"/>
              <w:end w:w="120" w:type="dxa"/>
            </w:tcMar>
          </w:tcPr>
          <w:p>
            <w:pPr>
              <w:spacing w:after="0"/>
            </w:pPr>
            <w:r>
              <w:rPr>
                <w:rFonts w:ascii="Aptos" w:hAnsi="Aptos"/>
                <w:b w:val="0"/>
                <w:color w:val="263238"/>
                <w:sz w:val="17"/>
              </w:rPr>
              <w:t>Keep missing until model fit</w:t>
            </w:r>
          </w:p>
        </w:tc>
      </w:tr>
      <w:tr>
        <w:tc>
          <w:tcPr>
            <w:tcW w:type="dxa" w:w="2088"/>
            <w:vAlign w:val="center"/>
            <w:tcMar>
              <w:top w:w="100" w:type="dxa"/>
              <w:start w:w="120" w:type="dxa"/>
              <w:bottom w:w="100" w:type="dxa"/>
              <w:end w:w="120" w:type="dxa"/>
            </w:tcMar>
            <w:shd w:fill="F3F6F9"/>
          </w:tcPr>
          <w:p>
            <w:pPr>
              <w:spacing w:after="0"/>
            </w:pPr>
            <w:r>
              <w:rPr>
                <w:rFonts w:ascii="Aptos" w:hAnsi="Aptos"/>
                <w:b w:val="0"/>
                <w:color w:val="263238"/>
                <w:sz w:val="17"/>
              </w:rPr>
              <w:t>Diagnosis</w:t>
            </w:r>
          </w:p>
        </w:tc>
        <w:tc>
          <w:tcPr>
            <w:tcW w:type="dxa" w:w="2520"/>
            <w:vAlign w:val="center"/>
            <w:tcMar>
              <w:top w:w="100" w:type="dxa"/>
              <w:start w:w="120" w:type="dxa"/>
              <w:bottom w:w="100" w:type="dxa"/>
              <w:end w:w="120" w:type="dxa"/>
            </w:tcMar>
            <w:shd w:fill="F3F6F9"/>
          </w:tcPr>
          <w:p>
            <w:pPr>
              <w:spacing w:after="0"/>
            </w:pPr>
            <w:r>
              <w:rPr>
                <w:rFonts w:ascii="Aptos" w:hAnsi="Aptos"/>
                <w:b w:val="0"/>
                <w:color w:val="263238"/>
                <w:sz w:val="17"/>
              </w:rPr>
              <w:t>Ordinal values 0-4</w:t>
            </w:r>
          </w:p>
        </w:tc>
        <w:tc>
          <w:tcPr>
            <w:tcW w:type="dxa" w:w="5184"/>
            <w:vAlign w:val="center"/>
            <w:tcMar>
              <w:top w:w="100" w:type="dxa"/>
              <w:start w:w="120" w:type="dxa"/>
              <w:bottom w:w="100" w:type="dxa"/>
              <w:end w:w="120" w:type="dxa"/>
            </w:tcMar>
            <w:shd w:fill="F3F6F9"/>
          </w:tcPr>
          <w:p>
            <w:pPr>
              <w:spacing w:after="0"/>
            </w:pPr>
            <w:r>
              <w:rPr>
                <w:rFonts w:ascii="Aptos" w:hAnsi="Aptos"/>
                <w:b w:val="0"/>
                <w:color w:val="263238"/>
                <w:sz w:val="17"/>
              </w:rPr>
              <w:t>Binary label: 0 vs 1-4</w:t>
            </w:r>
          </w:p>
        </w:tc>
      </w:tr>
      <w:tr>
        <w:tc>
          <w:tcPr>
            <w:tcW w:type="dxa" w:w="2088"/>
            <w:vAlign w:val="center"/>
            <w:tcMar>
              <w:top w:w="100" w:type="dxa"/>
              <w:start w:w="120" w:type="dxa"/>
              <w:bottom w:w="100" w:type="dxa"/>
              <w:end w:w="120" w:type="dxa"/>
            </w:tcMar>
          </w:tcPr>
          <w:p>
            <w:pPr>
              <w:spacing w:after="0"/>
            </w:pPr>
            <w:r>
              <w:rPr>
                <w:rFonts w:ascii="Aptos" w:hAnsi="Aptos"/>
                <w:b w:val="0"/>
                <w:color w:val="263238"/>
                <w:sz w:val="17"/>
              </w:rPr>
              <w:t>Duplicates</w:t>
            </w:r>
          </w:p>
        </w:tc>
        <w:tc>
          <w:tcPr>
            <w:tcW w:type="dxa" w:w="2520"/>
            <w:vAlign w:val="center"/>
            <w:tcMar>
              <w:top w:w="100" w:type="dxa"/>
              <w:start w:w="120" w:type="dxa"/>
              <w:bottom w:w="100" w:type="dxa"/>
              <w:end w:w="120" w:type="dxa"/>
            </w:tcMar>
          </w:tcPr>
          <w:p>
            <w:pPr>
              <w:spacing w:after="0"/>
            </w:pPr>
            <w:r>
              <w:rPr>
                <w:rFonts w:ascii="Aptos" w:hAnsi="Aptos"/>
                <w:b w:val="0"/>
                <w:color w:val="263238"/>
                <w:sz w:val="17"/>
              </w:rPr>
              <w:t>0</w:t>
            </w:r>
          </w:p>
        </w:tc>
        <w:tc>
          <w:tcPr>
            <w:tcW w:type="dxa" w:w="5184"/>
            <w:vAlign w:val="center"/>
            <w:tcMar>
              <w:top w:w="100" w:type="dxa"/>
              <w:start w:w="120" w:type="dxa"/>
              <w:bottom w:w="100" w:type="dxa"/>
              <w:end w:w="120" w:type="dxa"/>
            </w:tcMar>
          </w:tcPr>
          <w:p>
            <w:pPr>
              <w:spacing w:after="0"/>
            </w:pPr>
            <w:r>
              <w:rPr>
                <w:rFonts w:ascii="Aptos" w:hAnsi="Aptos"/>
                <w:b w:val="0"/>
                <w:color w:val="263238"/>
                <w:sz w:val="17"/>
              </w:rPr>
              <w:t>Remove exact duplicate rows</w:t>
            </w:r>
          </w:p>
        </w:tc>
      </w:tr>
    </w:tbl>
    <w:p>
      <w:pPr>
        <w:pStyle w:val="Heading1"/>
        <w:keepNext/>
        <w:spacing w:before="100" w:after="140"/>
      </w:pPr>
      <w:r>
        <w:rPr>
          <w:rFonts w:ascii="Aptos" w:hAnsi="Aptos"/>
          <w:b/>
          <w:color w:val="000000"/>
          <w:sz w:val="34"/>
        </w:rPr>
        <w:t>Target definition</w:t>
      </w:r>
    </w:p>
    <w:p>
      <w:pPr>
        <w:spacing w:before="0" w:after="120" w:line="269" w:lineRule="auto"/>
      </w:pPr>
      <w:r>
        <w:rPr>
          <w:rFonts w:ascii="Aptos" w:hAnsi="Aptos"/>
          <w:b w:val="0"/>
          <w:color w:val="263238"/>
          <w:sz w:val="21"/>
        </w:rPr>
        <w:t>The binary label follows the assignment framing and UCI's documented convention: diagnosis 0 is absence, while diagnoses 1, 2, 3, or 4 represent presence. This transformation is explicit in src/data.py and tested. It avoids treating the original ordinal values as four separate classes when the project objective is binary classification.</w:t>
      </w:r>
    </w:p>
    <w:p>
      <w:pPr>
        <w:spacing w:before="0" w:after="120" w:line="269" w:lineRule="auto"/>
      </w:pPr>
      <w:r>
        <w:rPr>
          <w:rFonts w:ascii="Aptos" w:hAnsi="Aptos"/>
          <w:b w:val="0"/>
          <w:color w:val="263238"/>
          <w:sz w:val="21"/>
        </w:rPr>
        <w:t>Predictors are age, sex, chest-pain type (cp), resting blood pressure, serum cholesterol, fasting blood sugar flag, resting ECG category, maximum heart rate, exercise angina, ST depression, slope, major vessels (ca), and thalassemia category (thal).</w:t>
      </w:r>
    </w:p>
    <w:p>
      <w:pPr>
        <w:pStyle w:val="Heading1"/>
        <w:keepNext/>
        <w:spacing w:before="100" w:after="140"/>
      </w:pPr>
      <w:r>
        <w:rPr>
          <w:rFonts w:ascii="Aptos" w:hAnsi="Aptos"/>
          <w:b/>
          <w:color w:val="000000"/>
          <w:sz w:val="34"/>
        </w:rPr>
        <w:t>Data quality and limits</w:t>
      </w:r>
    </w:p>
    <w:p>
      <w:pPr>
        <w:spacing w:before="0" w:after="120" w:line="269" w:lineRule="auto"/>
      </w:pPr>
      <w:r>
        <w:rPr>
          <w:rFonts w:ascii="Aptos" w:hAnsi="Aptos"/>
          <w:b w:val="0"/>
          <w:color w:val="263238"/>
          <w:sz w:val="21"/>
        </w:rPr>
        <w:t>Missingness is sparse in this subset (ca: 4, thal: 2). The analysis keeps these cells as nulls; it does not delete patient rows or fill them before data splitting. The preprocessing pipeline fits the imputers only on each training fold. This preserves the holdout and validation boundaries.</w:t>
      </w:r>
    </w:p>
    <w:p>
      <w:pPr>
        <w:spacing w:before="0" w:after="120" w:line="269" w:lineRule="auto"/>
      </w:pPr>
      <w:r>
        <w:rPr>
          <w:rFonts w:ascii="Aptos" w:hAnsi="Aptos"/>
          <w:b w:val="0"/>
          <w:color w:val="53616F"/>
          <w:sz w:val="19"/>
        </w:rPr>
        <w:t>The subset is small and historical. It is appropriate for an educational workflow demonstration, not for clinical use or for claims about present-day populations.</w:t>
      </w:r>
    </w:p>
    <w:p>
      <w:r>
        <w:br w:type="page"/>
      </w:r>
    </w:p>
    <w:p>
      <w:pPr>
        <w:spacing w:after="100"/>
      </w:pPr>
      <w:r>
        <w:rPr>
          <w:rFonts w:ascii="Aptos" w:hAnsi="Aptos"/>
          <w:b/>
          <w:color w:val="2F6690"/>
          <w:sz w:val="17"/>
        </w:rPr>
        <w:t>02  |  EXPLORATORY ANALYSIS</w:t>
      </w:r>
    </w:p>
    <w:p>
      <w:pPr>
        <w:pStyle w:val="Heading1"/>
        <w:keepNext/>
        <w:spacing w:before="100" w:after="140"/>
      </w:pPr>
      <w:r>
        <w:rPr>
          <w:rFonts w:ascii="Aptos" w:hAnsi="Aptos"/>
          <w:b/>
          <w:color w:val="000000"/>
          <w:sz w:val="34"/>
        </w:rPr>
        <w:t>Feature distributions and class balance</w:t>
      </w:r>
    </w:p>
    <w:p>
      <w:pPr>
        <w:spacing w:before="0" w:after="120" w:line="269" w:lineRule="auto"/>
      </w:pPr>
      <w:r>
        <w:rPr>
          <w:rFonts w:ascii="Aptos" w:hAnsi="Aptos"/>
          <w:b w:val="0"/>
          <w:color w:val="263238"/>
          <w:sz w:val="21"/>
        </w:rPr>
        <w:t>The first EDA view summarizes all 13 predictors after the target mapping. Continuous features show broad patient variability, while coded fields such as chest-pain type and thalassemia type are discrete categories even though they are stored as numbers. That distinction informs the model pipeline: numerical measurements are scaled; encoded clinical codes are one-hot encoded.</w:t>
      </w:r>
    </w:p>
    <w:p>
      <w:pPr>
        <w:jc w:val="center"/>
      </w:pPr>
      <w:r>
        <w:drawing>
          <wp:inline xmlns:a="http://schemas.openxmlformats.org/drawingml/2006/main" xmlns:pic="http://schemas.openxmlformats.org/drawingml/2006/picture">
            <wp:extent cx="4983480" cy="5313269"/>
            <wp:docPr id="2" name="Picture 2"/>
            <wp:cNvGraphicFramePr>
              <a:graphicFrameLocks noChangeAspect="1"/>
            </wp:cNvGraphicFramePr>
            <a:graphic>
              <a:graphicData uri="http://schemas.openxmlformats.org/drawingml/2006/picture">
                <pic:pic>
                  <pic:nvPicPr>
                    <pic:cNvPr id="0" name="feature_distributions.png"/>
                    <pic:cNvPicPr/>
                  </pic:nvPicPr>
                  <pic:blipFill>
                    <a:blip r:embed="rId12"/>
                    <a:stretch>
                      <a:fillRect/>
                    </a:stretch>
                  </pic:blipFill>
                  <pic:spPr>
                    <a:xfrm>
                      <a:off x="0" y="0"/>
                      <a:ext cx="4983480" cy="5313269"/>
                    </a:xfrm>
                    <a:prstGeom prst="rect"/>
                  </pic:spPr>
                </pic:pic>
              </a:graphicData>
            </a:graphic>
          </wp:inline>
        </w:drawing>
      </w:r>
    </w:p>
    <w:p>
      <w:pPr>
        <w:spacing w:before="0" w:after="80" w:line="269" w:lineRule="auto"/>
      </w:pPr>
      <w:r>
        <w:rPr>
          <w:rFonts w:ascii="Aptos" w:hAnsi="Aptos"/>
          <w:b w:val="0"/>
          <w:color w:val="53616F"/>
          <w:sz w:val="17"/>
        </w:rPr>
        <w:t>Figure 2. Histograms for Cleveland clinical features.</w:t>
      </w:r>
    </w:p>
    <w:tbl>
      <w:tblPr>
        <w:tblStyle w:val="TableGrid"/>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98"/>
        <w:gridCol w:w="2498"/>
        <w:gridCol w:w="2498"/>
        <w:gridCol w:w="2498"/>
      </w:tblGrid>
      <w:tr>
        <w:tc>
          <w:tcPr>
            <w:tcW w:type="dxa" w:w="1152"/>
            <w:vAlign w:val="center"/>
            <w:shd w:fill="17324D"/>
            <w:tcMar>
              <w:top w:w="100" w:type="dxa"/>
              <w:start w:w="120" w:type="dxa"/>
              <w:bottom w:w="100" w:type="dxa"/>
              <w:end w:w="120" w:type="dxa"/>
            </w:tcMar>
          </w:tcPr>
          <w:p>
            <w:r>
              <w:rPr>
                <w:rFonts w:ascii="Aptos" w:hAnsi="Aptos"/>
                <w:b/>
                <w:color w:val="FFFFFF"/>
                <w:sz w:val="17"/>
              </w:rPr>
              <w:t>Target</w:t>
            </w:r>
          </w:p>
        </w:tc>
        <w:tc>
          <w:tcPr>
            <w:tcW w:type="dxa" w:w="3384"/>
            <w:vAlign w:val="center"/>
            <w:shd w:fill="17324D"/>
            <w:tcMar>
              <w:top w:w="100" w:type="dxa"/>
              <w:start w:w="120" w:type="dxa"/>
              <w:bottom w:w="100" w:type="dxa"/>
              <w:end w:w="120" w:type="dxa"/>
            </w:tcMar>
          </w:tcPr>
          <w:p>
            <w:r>
              <w:rPr>
                <w:rFonts w:ascii="Aptos" w:hAnsi="Aptos"/>
                <w:b/>
                <w:color w:val="FFFFFF"/>
                <w:sz w:val="17"/>
              </w:rPr>
              <w:t>Meaning</w:t>
            </w:r>
          </w:p>
        </w:tc>
        <w:tc>
          <w:tcPr>
            <w:tcW w:type="dxa" w:w="1728"/>
            <w:vAlign w:val="center"/>
            <w:shd w:fill="17324D"/>
            <w:tcMar>
              <w:top w:w="100" w:type="dxa"/>
              <w:start w:w="120" w:type="dxa"/>
              <w:bottom w:w="100" w:type="dxa"/>
              <w:end w:w="120" w:type="dxa"/>
            </w:tcMar>
          </w:tcPr>
          <w:p>
            <w:r>
              <w:rPr>
                <w:rFonts w:ascii="Aptos" w:hAnsi="Aptos"/>
                <w:b/>
                <w:color w:val="FFFFFF"/>
                <w:sz w:val="17"/>
              </w:rPr>
              <w:t>Patients</w:t>
            </w:r>
          </w:p>
        </w:tc>
        <w:tc>
          <w:tcPr>
            <w:tcW w:type="dxa" w:w="1728"/>
            <w:vAlign w:val="center"/>
            <w:shd w:fill="17324D"/>
            <w:tcMar>
              <w:top w:w="100" w:type="dxa"/>
              <w:start w:w="120" w:type="dxa"/>
              <w:bottom w:w="100" w:type="dxa"/>
              <w:end w:w="120" w:type="dxa"/>
            </w:tcMar>
          </w:tcPr>
          <w:p>
            <w:r>
              <w:rPr>
                <w:rFonts w:ascii="Aptos" w:hAnsi="Aptos"/>
                <w:b/>
                <w:color w:val="FFFFFF"/>
                <w:sz w:val="17"/>
              </w:rPr>
              <w:t>Share</w:t>
            </w:r>
          </w:p>
        </w:tc>
      </w:tr>
      <w:tr>
        <w:tc>
          <w:tcPr>
            <w:tcW w:type="dxa" w:w="1152"/>
            <w:vAlign w:val="center"/>
            <w:tcMar>
              <w:top w:w="100" w:type="dxa"/>
              <w:start w:w="120" w:type="dxa"/>
              <w:bottom w:w="100" w:type="dxa"/>
              <w:end w:w="120" w:type="dxa"/>
            </w:tcMar>
          </w:tcPr>
          <w:p>
            <w:pPr>
              <w:spacing w:after="0"/>
            </w:pPr>
            <w:r>
              <w:rPr>
                <w:rFonts w:ascii="Aptos" w:hAnsi="Aptos"/>
                <w:b w:val="0"/>
                <w:color w:val="263238"/>
                <w:sz w:val="17"/>
              </w:rPr>
              <w:t>0</w:t>
            </w:r>
          </w:p>
        </w:tc>
        <w:tc>
          <w:tcPr>
            <w:tcW w:type="dxa" w:w="3384"/>
            <w:vAlign w:val="center"/>
            <w:tcMar>
              <w:top w:w="100" w:type="dxa"/>
              <w:start w:w="120" w:type="dxa"/>
              <w:bottom w:w="100" w:type="dxa"/>
              <w:end w:w="120" w:type="dxa"/>
            </w:tcMar>
          </w:tcPr>
          <w:p>
            <w:pPr>
              <w:spacing w:after="0"/>
            </w:pPr>
            <w:r>
              <w:rPr>
                <w:rFonts w:ascii="Aptos" w:hAnsi="Aptos"/>
                <w:b w:val="0"/>
                <w:color w:val="263238"/>
                <w:sz w:val="17"/>
              </w:rPr>
              <w:t>No diagnosis</w:t>
            </w:r>
          </w:p>
        </w:tc>
        <w:tc>
          <w:tcPr>
            <w:tcW w:type="dxa" w:w="1728"/>
            <w:vAlign w:val="center"/>
            <w:tcMar>
              <w:top w:w="100" w:type="dxa"/>
              <w:start w:w="120" w:type="dxa"/>
              <w:bottom w:w="100" w:type="dxa"/>
              <w:end w:w="120" w:type="dxa"/>
            </w:tcMar>
          </w:tcPr>
          <w:p>
            <w:pPr>
              <w:spacing w:after="0"/>
            </w:pPr>
            <w:r>
              <w:rPr>
                <w:rFonts w:ascii="Aptos" w:hAnsi="Aptos"/>
                <w:b w:val="0"/>
                <w:color w:val="263238"/>
                <w:sz w:val="17"/>
              </w:rPr>
              <w:t>164</w:t>
            </w:r>
          </w:p>
        </w:tc>
        <w:tc>
          <w:tcPr>
            <w:tcW w:type="dxa" w:w="1728"/>
            <w:vAlign w:val="center"/>
            <w:tcMar>
              <w:top w:w="100" w:type="dxa"/>
              <w:start w:w="120" w:type="dxa"/>
              <w:bottom w:w="100" w:type="dxa"/>
              <w:end w:w="120" w:type="dxa"/>
            </w:tcMar>
          </w:tcPr>
          <w:p>
            <w:pPr>
              <w:spacing w:after="0"/>
            </w:pPr>
            <w:r>
              <w:rPr>
                <w:rFonts w:ascii="Aptos" w:hAnsi="Aptos"/>
                <w:b w:val="0"/>
                <w:color w:val="263238"/>
                <w:sz w:val="17"/>
              </w:rPr>
              <w:t>54.1%</w:t>
            </w:r>
          </w:p>
        </w:tc>
      </w:tr>
      <w:tr>
        <w:tc>
          <w:tcPr>
            <w:tcW w:type="dxa" w:w="1152"/>
            <w:vAlign w:val="center"/>
            <w:tcMar>
              <w:top w:w="100" w:type="dxa"/>
              <w:start w:w="120" w:type="dxa"/>
              <w:bottom w:w="100" w:type="dxa"/>
              <w:end w:w="120" w:type="dxa"/>
            </w:tcMar>
            <w:shd w:fill="F3F6F9"/>
          </w:tcPr>
          <w:p>
            <w:pPr>
              <w:spacing w:after="0"/>
            </w:pPr>
            <w:r>
              <w:rPr>
                <w:rFonts w:ascii="Aptos" w:hAnsi="Aptos"/>
                <w:b w:val="0"/>
                <w:color w:val="263238"/>
                <w:sz w:val="17"/>
              </w:rPr>
              <w:t>1</w:t>
            </w:r>
          </w:p>
        </w:tc>
        <w:tc>
          <w:tcPr>
            <w:tcW w:type="dxa" w:w="3384"/>
            <w:vAlign w:val="center"/>
            <w:tcMar>
              <w:top w:w="100" w:type="dxa"/>
              <w:start w:w="120" w:type="dxa"/>
              <w:bottom w:w="100" w:type="dxa"/>
              <w:end w:w="120" w:type="dxa"/>
            </w:tcMar>
            <w:shd w:fill="F3F6F9"/>
          </w:tcPr>
          <w:p>
            <w:pPr>
              <w:spacing w:after="0"/>
            </w:pPr>
            <w:r>
              <w:rPr>
                <w:rFonts w:ascii="Aptos" w:hAnsi="Aptos"/>
                <w:b w:val="0"/>
                <w:color w:val="263238"/>
                <w:sz w:val="17"/>
              </w:rPr>
              <w:t>Diagnosis present</w:t>
            </w:r>
          </w:p>
        </w:tc>
        <w:tc>
          <w:tcPr>
            <w:tcW w:type="dxa" w:w="1728"/>
            <w:vAlign w:val="center"/>
            <w:tcMar>
              <w:top w:w="100" w:type="dxa"/>
              <w:start w:w="120" w:type="dxa"/>
              <w:bottom w:w="100" w:type="dxa"/>
              <w:end w:w="120" w:type="dxa"/>
            </w:tcMar>
            <w:shd w:fill="F3F6F9"/>
          </w:tcPr>
          <w:p>
            <w:pPr>
              <w:spacing w:after="0"/>
            </w:pPr>
            <w:r>
              <w:rPr>
                <w:rFonts w:ascii="Aptos" w:hAnsi="Aptos"/>
                <w:b w:val="0"/>
                <w:color w:val="263238"/>
                <w:sz w:val="17"/>
              </w:rPr>
              <w:t>139</w:t>
            </w:r>
          </w:p>
        </w:tc>
        <w:tc>
          <w:tcPr>
            <w:tcW w:type="dxa" w:w="1728"/>
            <w:vAlign w:val="center"/>
            <w:tcMar>
              <w:top w:w="100" w:type="dxa"/>
              <w:start w:w="120" w:type="dxa"/>
              <w:bottom w:w="100" w:type="dxa"/>
              <w:end w:w="120" w:type="dxa"/>
            </w:tcMar>
            <w:shd w:fill="F3F6F9"/>
          </w:tcPr>
          <w:p>
            <w:pPr>
              <w:spacing w:after="0"/>
            </w:pPr>
            <w:r>
              <w:rPr>
                <w:rFonts w:ascii="Aptos" w:hAnsi="Aptos"/>
                <w:b w:val="0"/>
                <w:color w:val="263238"/>
                <w:sz w:val="17"/>
              </w:rPr>
              <w:t>45.9%</w:t>
            </w:r>
          </w:p>
        </w:tc>
      </w:tr>
    </w:tbl>
    <w:p>
      <w:pPr>
        <w:spacing w:before="0" w:after="120" w:line="269" w:lineRule="auto"/>
      </w:pPr>
      <w:r>
        <w:rPr>
          <w:rFonts w:ascii="Aptos" w:hAnsi="Aptos"/>
          <w:b w:val="0"/>
          <w:color w:val="263238"/>
          <w:sz w:val="21"/>
        </w:rPr>
        <w:t>The target is moderately imbalanced, so accuracy alone would be incomplete. Precision and recall are reported alongside ROC-AUC, and the candidate classifiers use class weighting to reduce the impact of unequal class frequencies.</w:t>
      </w:r>
    </w:p>
    <w:p>
      <w:r>
        <w:br w:type="page"/>
      </w:r>
    </w:p>
    <w:p>
      <w:pPr>
        <w:spacing w:after="100"/>
      </w:pPr>
      <w:r>
        <w:rPr>
          <w:rFonts w:ascii="Aptos" w:hAnsi="Aptos"/>
          <w:b/>
          <w:color w:val="2F6690"/>
          <w:sz w:val="17"/>
        </w:rPr>
        <w:t>02  |  EXPLORATORY ANALYSIS</w:t>
      </w:r>
    </w:p>
    <w:p>
      <w:pPr>
        <w:pStyle w:val="Heading1"/>
        <w:keepNext/>
        <w:spacing w:before="100" w:after="140"/>
      </w:pPr>
      <w:r>
        <w:rPr>
          <w:rFonts w:ascii="Aptos" w:hAnsi="Aptos"/>
          <w:b/>
          <w:color w:val="000000"/>
          <w:sz w:val="34"/>
        </w:rPr>
        <w:t>Associations and missing source values</w:t>
      </w:r>
    </w:p>
    <w:p>
      <w:pPr>
        <w:spacing w:before="0" w:after="120" w:line="269" w:lineRule="auto"/>
      </w:pPr>
      <w:r>
        <w:rPr>
          <w:rFonts w:ascii="Aptos" w:hAnsi="Aptos"/>
          <w:b w:val="0"/>
          <w:color w:val="263238"/>
          <w:sz w:val="21"/>
        </w:rPr>
        <w:t>The correlation heatmap is descriptive: it shows linear associations among numeric encodings and the binary target. Ordinal category codes can create correlations that do not represent a true distance between categories, so the figure is used to orient feature review rather than as a feature-selection rule.</w:t>
      </w:r>
    </w:p>
    <w:p>
      <w:r>
        <w:drawing>
          <wp:inline xmlns:a="http://schemas.openxmlformats.org/drawingml/2006/main" xmlns:pic="http://schemas.openxmlformats.org/drawingml/2006/picture">
            <wp:extent cx="5029200" cy="4438964"/>
            <wp:docPr id="3" name="Picture 3"/>
            <wp:cNvGraphicFramePr>
              <a:graphicFrameLocks noChangeAspect="1"/>
            </wp:cNvGraphicFramePr>
            <a:graphic>
              <a:graphicData uri="http://schemas.openxmlformats.org/drawingml/2006/picture">
                <pic:pic>
                  <pic:nvPicPr>
                    <pic:cNvPr id="0" name="correlation_heatmap.png"/>
                    <pic:cNvPicPr/>
                  </pic:nvPicPr>
                  <pic:blipFill>
                    <a:blip r:embed="rId13"/>
                    <a:stretch>
                      <a:fillRect/>
                    </a:stretch>
                  </pic:blipFill>
                  <pic:spPr>
                    <a:xfrm>
                      <a:off x="0" y="0"/>
                      <a:ext cx="5029200" cy="4438964"/>
                    </a:xfrm>
                    <a:prstGeom prst="rect"/>
                  </pic:spPr>
                </pic:pic>
              </a:graphicData>
            </a:graphic>
          </wp:inline>
        </w:drawing>
      </w:r>
    </w:p>
    <w:p>
      <w:pPr>
        <w:spacing w:before="0" w:after="120" w:line="269" w:lineRule="auto"/>
      </w:pPr>
      <w:r>
        <w:rPr>
          <w:rFonts w:ascii="Aptos" w:hAnsi="Aptos"/>
          <w:b w:val="0"/>
          <w:color w:val="53616F"/>
          <w:sz w:val="17"/>
        </w:rPr>
        <w:t>Figure 3. Pearson correlation matrix, including the binary target.</w:t>
      </w:r>
    </w:p>
    <w:tbl>
      <w:tblPr>
        <w:tblW w:type="auto" w:w="0"/>
        <w:tblLayout w:type="fixed"/>
        <w:tblLook w:firstColumn="1" w:firstRow="1" w:lastColumn="0" w:lastRow="0" w:noHBand="0" w:noVBand="1" w:val="04A0"/>
      </w:tblPr>
      <w:tblGrid>
        <w:gridCol w:w="4997"/>
        <w:gridCol w:w="4997"/>
      </w:tblGrid>
      <w:tr>
        <w:tc>
          <w:tcPr>
            <w:tcW w:type="dxa" w:w="4608"/>
          </w:tcPr>
          <w:p>
            <w:pPr>
              <w:jc w:val="center"/>
            </w:pPr>
            <w:r>
              <w:drawing>
                <wp:inline xmlns:a="http://schemas.openxmlformats.org/drawingml/2006/main" xmlns:pic="http://schemas.openxmlformats.org/drawingml/2006/picture">
                  <wp:extent cx="2560320" cy="1676484"/>
                  <wp:docPr id="4" name="Picture 4"/>
                  <wp:cNvGraphicFramePr>
                    <a:graphicFrameLocks noChangeAspect="1"/>
                  </wp:cNvGraphicFramePr>
                  <a:graphic>
                    <a:graphicData uri="http://schemas.openxmlformats.org/drawingml/2006/picture">
                      <pic:pic>
                        <pic:nvPicPr>
                          <pic:cNvPr id="0" name="class_balance.png"/>
                          <pic:cNvPicPr/>
                        </pic:nvPicPr>
                        <pic:blipFill>
                          <a:blip r:embed="rId14"/>
                          <a:stretch>
                            <a:fillRect/>
                          </a:stretch>
                        </pic:blipFill>
                        <pic:spPr>
                          <a:xfrm>
                            <a:off x="0" y="0"/>
                            <a:ext cx="2560320" cy="1676484"/>
                          </a:xfrm>
                          <a:prstGeom prst="rect"/>
                        </pic:spPr>
                      </pic:pic>
                    </a:graphicData>
                  </a:graphic>
                </wp:inline>
              </w:drawing>
            </w:r>
          </w:p>
        </w:tc>
        <w:tc>
          <w:tcPr>
            <w:tcW w:type="dxa" w:w="4608"/>
          </w:tcPr>
          <w:p>
            <w:pPr>
              <w:jc w:val="center"/>
            </w:pPr>
            <w:r>
              <w:drawing>
                <wp:inline xmlns:a="http://schemas.openxmlformats.org/drawingml/2006/main" xmlns:pic="http://schemas.openxmlformats.org/drawingml/2006/picture">
                  <wp:extent cx="2560320" cy="1395515"/>
                  <wp:docPr id="5" name="Picture 5"/>
                  <wp:cNvGraphicFramePr>
                    <a:graphicFrameLocks noChangeAspect="1"/>
                  </wp:cNvGraphicFramePr>
                  <a:graphic>
                    <a:graphicData uri="http://schemas.openxmlformats.org/drawingml/2006/picture">
                      <pic:pic>
                        <pic:nvPicPr>
                          <pic:cNvPr id="0" name="missingness.png"/>
                          <pic:cNvPicPr/>
                        </pic:nvPicPr>
                        <pic:blipFill>
                          <a:blip r:embed="rId15"/>
                          <a:stretch>
                            <a:fillRect/>
                          </a:stretch>
                        </pic:blipFill>
                        <pic:spPr>
                          <a:xfrm>
                            <a:off x="0" y="0"/>
                            <a:ext cx="2560320" cy="1395515"/>
                          </a:xfrm>
                          <a:prstGeom prst="rect"/>
                        </pic:spPr>
                      </pic:pic>
                    </a:graphicData>
                  </a:graphic>
                </wp:inline>
              </w:drawing>
            </w:r>
          </w:p>
        </w:tc>
      </w:tr>
    </w:tbl>
    <w:p>
      <w:pPr>
        <w:spacing w:before="0" w:after="120" w:line="269" w:lineRule="auto"/>
      </w:pPr>
      <w:r>
        <w:rPr>
          <w:rFonts w:ascii="Aptos" w:hAnsi="Aptos"/>
          <w:b w:val="0"/>
          <w:color w:val="53616F"/>
          <w:sz w:val="17"/>
        </w:rPr>
        <w:t>Figure 4. Class balance (left) and missingness before imputation (right).</w:t>
      </w:r>
    </w:p>
    <w:p>
      <w:pPr>
        <w:spacing w:before="0" w:after="0" w:line="269" w:lineRule="auto"/>
      </w:pPr>
      <w:r>
        <w:rPr>
          <w:rFonts w:ascii="Aptos" w:hAnsi="Aptos"/>
          <w:b w:val="0"/>
          <w:color w:val="263238"/>
          <w:sz w:val="19"/>
        </w:rPr>
        <w:t>The raw file contains six missing feature values. Their source-level visibility is retained in the summary JSON and figure. All plots and counts are generated by scripts/eda.py rather than manually edited, so a new run recreates the report inputs.</w:t>
      </w:r>
    </w:p>
    <w:p>
      <w:r>
        <w:br w:type="page"/>
      </w:r>
    </w:p>
    <w:p>
      <w:pPr>
        <w:spacing w:after="100"/>
      </w:pPr>
      <w:r>
        <w:rPr>
          <w:rFonts w:ascii="Aptos" w:hAnsi="Aptos"/>
          <w:b/>
          <w:color w:val="2F6690"/>
          <w:sz w:val="17"/>
        </w:rPr>
        <w:t>03  |  FEATURE ENGINEERING</w:t>
      </w:r>
    </w:p>
    <w:p>
      <w:pPr>
        <w:pStyle w:val="Heading1"/>
        <w:keepNext/>
        <w:spacing w:before="100" w:after="140"/>
      </w:pPr>
      <w:r>
        <w:rPr>
          <w:rFonts w:ascii="Aptos" w:hAnsi="Aptos"/>
          <w:b/>
          <w:color w:val="000000"/>
          <w:sz w:val="34"/>
        </w:rPr>
        <w:t>Leakage-safe preprocessing and model selection</w:t>
      </w:r>
    </w:p>
    <w:p>
      <w:pPr>
        <w:spacing w:before="0" w:after="120" w:line="269" w:lineRule="auto"/>
      </w:pPr>
      <w:r>
        <w:rPr>
          <w:rFonts w:ascii="Aptos" w:hAnsi="Aptos"/>
          <w:b w:val="0"/>
          <w:color w:val="263238"/>
          <w:sz w:val="21"/>
        </w:rPr>
        <w:t>A ColumnTransformer routes five measurements (age, resting blood pressure, serum cholesterol, maximum heart rate, and ST depression) through median imputation and StandardScaler. Eight coded fields are treated as categorical and pass through most-frequent imputation followed by one-hot encoding. Unknown categories at inference are ignored safely. These transformations are placed inside the classifier pipeline, so each cross-validation fold learns its own imputation and scaling statistics.</w:t>
      </w:r>
    </w:p>
    <w:tbl>
      <w:tblPr>
        <w:tblStyle w:val="TableGrid"/>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c>
          <w:tcPr>
            <w:tcW w:type="dxa" w:w="2304"/>
            <w:vAlign w:val="center"/>
            <w:shd w:fill="17324D"/>
            <w:tcMar>
              <w:top w:w="100" w:type="dxa"/>
              <w:start w:w="120" w:type="dxa"/>
              <w:bottom w:w="100" w:type="dxa"/>
              <w:end w:w="120" w:type="dxa"/>
            </w:tcMar>
          </w:tcPr>
          <w:p>
            <w:r>
              <w:rPr>
                <w:rFonts w:ascii="Aptos" w:hAnsi="Aptos"/>
                <w:b/>
                <w:color w:val="FFFFFF"/>
                <w:sz w:val="17"/>
              </w:rPr>
              <w:t>Candidate</w:t>
            </w:r>
          </w:p>
        </w:tc>
        <w:tc>
          <w:tcPr>
            <w:tcW w:type="dxa" w:w="3312"/>
            <w:vAlign w:val="center"/>
            <w:shd w:fill="17324D"/>
            <w:tcMar>
              <w:top w:w="100" w:type="dxa"/>
              <w:start w:w="120" w:type="dxa"/>
              <w:bottom w:w="100" w:type="dxa"/>
              <w:end w:w="120" w:type="dxa"/>
            </w:tcMar>
          </w:tcPr>
          <w:p>
            <w:r>
              <w:rPr>
                <w:rFonts w:ascii="Aptos" w:hAnsi="Aptos"/>
                <w:b/>
                <w:color w:val="FFFFFF"/>
                <w:sz w:val="17"/>
              </w:rPr>
              <w:t>Role</w:t>
            </w:r>
          </w:p>
        </w:tc>
        <w:tc>
          <w:tcPr>
            <w:tcW w:type="dxa" w:w="4320"/>
            <w:vAlign w:val="center"/>
            <w:shd w:fill="17324D"/>
            <w:tcMar>
              <w:top w:w="100" w:type="dxa"/>
              <w:start w:w="120" w:type="dxa"/>
              <w:bottom w:w="100" w:type="dxa"/>
              <w:end w:w="120" w:type="dxa"/>
            </w:tcMar>
          </w:tcPr>
          <w:p>
            <w:r>
              <w:rPr>
                <w:rFonts w:ascii="Aptos" w:hAnsi="Aptos"/>
                <w:b/>
                <w:color w:val="FFFFFF"/>
                <w:sz w:val="17"/>
              </w:rPr>
              <w:t>Search dimensions</w:t>
            </w:r>
          </w:p>
        </w:tc>
      </w:tr>
      <w:tr>
        <w:tc>
          <w:tcPr>
            <w:tcW w:type="dxa" w:w="2304"/>
            <w:vAlign w:val="center"/>
            <w:tcMar>
              <w:top w:w="100" w:type="dxa"/>
              <w:start w:w="120" w:type="dxa"/>
              <w:bottom w:w="100" w:type="dxa"/>
              <w:end w:w="120" w:type="dxa"/>
            </w:tcMar>
          </w:tcPr>
          <w:p>
            <w:pPr>
              <w:spacing w:after="0"/>
            </w:pPr>
            <w:r>
              <w:rPr>
                <w:rFonts w:ascii="Aptos" w:hAnsi="Aptos"/>
                <w:b w:val="0"/>
                <w:color w:val="263238"/>
                <w:sz w:val="17"/>
              </w:rPr>
              <w:t>Logistic Regression</w:t>
            </w:r>
          </w:p>
        </w:tc>
        <w:tc>
          <w:tcPr>
            <w:tcW w:type="dxa" w:w="3312"/>
            <w:vAlign w:val="center"/>
            <w:tcMar>
              <w:top w:w="100" w:type="dxa"/>
              <w:start w:w="120" w:type="dxa"/>
              <w:bottom w:w="100" w:type="dxa"/>
              <w:end w:w="120" w:type="dxa"/>
            </w:tcMar>
          </w:tcPr>
          <w:p>
            <w:pPr>
              <w:spacing w:after="0"/>
            </w:pPr>
            <w:r>
              <w:rPr>
                <w:rFonts w:ascii="Aptos" w:hAnsi="Aptos"/>
                <w:b w:val="0"/>
                <w:color w:val="263238"/>
                <w:sz w:val="17"/>
              </w:rPr>
              <w:t>Interpretable linear baseline</w:t>
            </w:r>
          </w:p>
        </w:tc>
        <w:tc>
          <w:tcPr>
            <w:tcW w:type="dxa" w:w="4320"/>
            <w:vAlign w:val="center"/>
            <w:tcMar>
              <w:top w:w="100" w:type="dxa"/>
              <w:start w:w="120" w:type="dxa"/>
              <w:bottom w:w="100" w:type="dxa"/>
              <w:end w:w="120" w:type="dxa"/>
            </w:tcMar>
          </w:tcPr>
          <w:p>
            <w:pPr>
              <w:spacing w:after="0"/>
            </w:pPr>
            <w:r>
              <w:rPr>
                <w:rFonts w:ascii="Aptos" w:hAnsi="Aptos"/>
                <w:b w:val="0"/>
                <w:color w:val="263238"/>
                <w:sz w:val="17"/>
              </w:rPr>
              <w:t>C; class_weight balanced</w:t>
            </w:r>
          </w:p>
        </w:tc>
      </w:tr>
      <w:tr>
        <w:tc>
          <w:tcPr>
            <w:tcW w:type="dxa" w:w="2304"/>
            <w:vAlign w:val="center"/>
            <w:tcMar>
              <w:top w:w="100" w:type="dxa"/>
              <w:start w:w="120" w:type="dxa"/>
              <w:bottom w:w="100" w:type="dxa"/>
              <w:end w:w="120" w:type="dxa"/>
            </w:tcMar>
            <w:shd w:fill="F3F6F9"/>
          </w:tcPr>
          <w:p>
            <w:pPr>
              <w:spacing w:after="0"/>
            </w:pPr>
            <w:r>
              <w:rPr>
                <w:rFonts w:ascii="Aptos" w:hAnsi="Aptos"/>
                <w:b w:val="0"/>
                <w:color w:val="263238"/>
                <w:sz w:val="17"/>
              </w:rPr>
              <w:t>Random Forest</w:t>
            </w:r>
          </w:p>
        </w:tc>
        <w:tc>
          <w:tcPr>
            <w:tcW w:type="dxa" w:w="3312"/>
            <w:vAlign w:val="center"/>
            <w:tcMar>
              <w:top w:w="100" w:type="dxa"/>
              <w:start w:w="120" w:type="dxa"/>
              <w:bottom w:w="100" w:type="dxa"/>
              <w:end w:w="120" w:type="dxa"/>
            </w:tcMar>
            <w:shd w:fill="F3F6F9"/>
          </w:tcPr>
          <w:p>
            <w:pPr>
              <w:spacing w:after="0"/>
            </w:pPr>
            <w:r>
              <w:rPr>
                <w:rFonts w:ascii="Aptos" w:hAnsi="Aptos"/>
                <w:b w:val="0"/>
                <w:color w:val="263238"/>
                <w:sz w:val="17"/>
              </w:rPr>
              <w:t>Nonlinear tree ensemble</w:t>
            </w:r>
          </w:p>
        </w:tc>
        <w:tc>
          <w:tcPr>
            <w:tcW w:type="dxa" w:w="4320"/>
            <w:vAlign w:val="center"/>
            <w:tcMar>
              <w:top w:w="100" w:type="dxa"/>
              <w:start w:w="120" w:type="dxa"/>
              <w:bottom w:w="100" w:type="dxa"/>
              <w:end w:w="120" w:type="dxa"/>
            </w:tcMar>
            <w:shd w:fill="F3F6F9"/>
          </w:tcPr>
          <w:p>
            <w:pPr>
              <w:spacing w:after="0"/>
            </w:pPr>
            <w:r>
              <w:rPr>
                <w:rFonts w:ascii="Aptos" w:hAnsi="Aptos"/>
                <w:b w:val="0"/>
                <w:color w:val="263238"/>
                <w:sz w:val="17"/>
              </w:rPr>
              <w:t>tree count, depth, leaf size; balanced subsampling</w:t>
            </w:r>
          </w:p>
        </w:tc>
      </w:tr>
    </w:tbl>
    <w:p>
      <w:pPr>
        <w:pStyle w:val="Heading1"/>
        <w:keepNext/>
        <w:spacing w:before="100" w:after="140"/>
      </w:pPr>
      <w:r>
        <w:rPr>
          <w:rFonts w:ascii="Aptos" w:hAnsi="Aptos"/>
          <w:b/>
          <w:color w:val="000000"/>
          <w:sz w:val="34"/>
        </w:rPr>
        <w:t>Evaluation protocol</w:t>
      </w:r>
    </w:p>
    <w:p>
      <w:pPr>
        <w:spacing w:before="0" w:after="120" w:line="269" w:lineRule="auto"/>
      </w:pPr>
      <w:r>
        <w:rPr>
          <w:rFonts w:ascii="Aptos" w:hAnsi="Aptos"/>
          <w:b w:val="0"/>
          <w:color w:val="263238"/>
          <w:sz w:val="21"/>
        </w:rPr>
        <w:t>A stratified 80/20 split is created with a fixed random seed. GridSearchCV tunes each candidate on the training portion using five stratified folds (three in the CI smoke run). The refit metric is ROC-AUC. Accuracy, precision, recall, and ROC-AUC means and standard deviations are retained for the best setting. The untouched holdout reports all four metrics once after tuning. The final serialized pipeline is then refit on all 303 rows for API use.</w:t>
      </w:r>
    </w:p>
    <w:p>
      <w:pPr>
        <w:spacing w:before="0" w:after="120" w:line="269" w:lineRule="auto"/>
      </w:pPr>
      <w:r>
        <w:rPr>
          <w:rFonts w:ascii="Aptos" w:hAnsi="Aptos"/>
          <w:b w:val="0"/>
          <w:color w:val="53616F"/>
          <w:sz w:val="19"/>
        </w:rPr>
        <w:t>The holdout score is a single estimate from a small dataset and should not be interpreted as a stable clinical performance guarantee. Cross-validation variability is therefore shown next to each mean.</w:t>
      </w:r>
    </w:p>
    <w:p>
      <w:r>
        <w:br w:type="page"/>
      </w:r>
    </w:p>
    <w:p>
      <w:pPr>
        <w:spacing w:after="100"/>
      </w:pPr>
      <w:r>
        <w:rPr>
          <w:rFonts w:ascii="Aptos" w:hAnsi="Aptos"/>
          <w:b/>
          <w:color w:val="2F6690"/>
          <w:sz w:val="17"/>
        </w:rPr>
        <w:t>04  |  MODEL RESULTS</w:t>
      </w:r>
    </w:p>
    <w:p>
      <w:pPr>
        <w:pStyle w:val="Heading1"/>
        <w:keepNext/>
        <w:spacing w:before="100" w:after="140"/>
      </w:pPr>
      <w:r>
        <w:rPr>
          <w:rFonts w:ascii="Aptos" w:hAnsi="Aptos"/>
          <w:b/>
          <w:color w:val="000000"/>
          <w:sz w:val="34"/>
        </w:rPr>
        <w:t>Cross-validation and holdout performance</w:t>
      </w:r>
    </w:p>
    <w:p>
      <w:pPr>
        <w:spacing w:before="0" w:after="120" w:line="269" w:lineRule="auto"/>
      </w:pPr>
      <w:r>
        <w:rPr>
          <w:rFonts w:ascii="Aptos" w:hAnsi="Aptos"/>
          <w:b w:val="0"/>
          <w:color w:val="263238"/>
          <w:sz w:val="21"/>
        </w:rPr>
        <w:t>Table 1 reports training-set cross-validation scores for each selected parameter setting. The mean and standard deviation summarize fold-to-fold variation.</w:t>
      </w:r>
    </w:p>
    <w:tbl>
      <w:tblPr>
        <w:tblStyle w:val="TableGrid"/>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99"/>
        <w:gridCol w:w="1999"/>
        <w:gridCol w:w="1999"/>
        <w:gridCol w:w="1999"/>
        <w:gridCol w:w="1999"/>
      </w:tblGrid>
      <w:tr>
        <w:tc>
          <w:tcPr>
            <w:tcW w:type="dxa" w:w="2448"/>
            <w:vAlign w:val="center"/>
            <w:shd w:fill="17324D"/>
            <w:tcMar>
              <w:top w:w="100" w:type="dxa"/>
              <w:start w:w="120" w:type="dxa"/>
              <w:bottom w:w="100" w:type="dxa"/>
              <w:end w:w="120" w:type="dxa"/>
            </w:tcMar>
          </w:tcPr>
          <w:p>
            <w:r>
              <w:rPr>
                <w:rFonts w:ascii="Aptos" w:hAnsi="Aptos"/>
                <w:b/>
                <w:color w:val="FFFFFF"/>
                <w:sz w:val="16"/>
              </w:rPr>
              <w:t>Model</w:t>
            </w:r>
          </w:p>
        </w:tc>
        <w:tc>
          <w:tcPr>
            <w:tcW w:type="dxa" w:w="1728"/>
            <w:vAlign w:val="center"/>
            <w:shd w:fill="17324D"/>
            <w:tcMar>
              <w:top w:w="100" w:type="dxa"/>
              <w:start w:w="120" w:type="dxa"/>
              <w:bottom w:w="100" w:type="dxa"/>
              <w:end w:w="120" w:type="dxa"/>
            </w:tcMar>
          </w:tcPr>
          <w:p>
            <w:r>
              <w:rPr>
                <w:rFonts w:ascii="Aptos" w:hAnsi="Aptos"/>
                <w:b/>
                <w:color w:val="FFFFFF"/>
                <w:sz w:val="16"/>
              </w:rPr>
              <w:t>Accuracy</w:t>
            </w:r>
          </w:p>
        </w:tc>
        <w:tc>
          <w:tcPr>
            <w:tcW w:type="dxa" w:w="1728"/>
            <w:vAlign w:val="center"/>
            <w:shd w:fill="17324D"/>
            <w:tcMar>
              <w:top w:w="100" w:type="dxa"/>
              <w:start w:w="120" w:type="dxa"/>
              <w:bottom w:w="100" w:type="dxa"/>
              <w:end w:w="120" w:type="dxa"/>
            </w:tcMar>
          </w:tcPr>
          <w:p>
            <w:r>
              <w:rPr>
                <w:rFonts w:ascii="Aptos" w:hAnsi="Aptos"/>
                <w:b/>
                <w:color w:val="FFFFFF"/>
                <w:sz w:val="16"/>
              </w:rPr>
              <w:t>Precision</w:t>
            </w:r>
          </w:p>
        </w:tc>
        <w:tc>
          <w:tcPr>
            <w:tcW w:type="dxa" w:w="1440"/>
            <w:vAlign w:val="center"/>
            <w:shd w:fill="17324D"/>
            <w:tcMar>
              <w:top w:w="100" w:type="dxa"/>
              <w:start w:w="120" w:type="dxa"/>
              <w:bottom w:w="100" w:type="dxa"/>
              <w:end w:w="120" w:type="dxa"/>
            </w:tcMar>
          </w:tcPr>
          <w:p>
            <w:r>
              <w:rPr>
                <w:rFonts w:ascii="Aptos" w:hAnsi="Aptos"/>
                <w:b/>
                <w:color w:val="FFFFFF"/>
                <w:sz w:val="16"/>
              </w:rPr>
              <w:t>Recall</w:t>
            </w:r>
          </w:p>
        </w:tc>
        <w:tc>
          <w:tcPr>
            <w:tcW w:type="dxa" w:w="1584"/>
            <w:vAlign w:val="center"/>
            <w:shd w:fill="17324D"/>
            <w:tcMar>
              <w:top w:w="100" w:type="dxa"/>
              <w:start w:w="120" w:type="dxa"/>
              <w:bottom w:w="100" w:type="dxa"/>
              <w:end w:w="120" w:type="dxa"/>
            </w:tcMar>
          </w:tcPr>
          <w:p>
            <w:r>
              <w:rPr>
                <w:rFonts w:ascii="Aptos" w:hAnsi="Aptos"/>
                <w:b/>
                <w:color w:val="FFFFFF"/>
                <w:sz w:val="16"/>
              </w:rPr>
              <w:t>ROC-AUC</w:t>
            </w:r>
          </w:p>
        </w:tc>
      </w:tr>
      <w:tr>
        <w:tc>
          <w:tcPr>
            <w:tcW w:type="dxa" w:w="2448"/>
            <w:vAlign w:val="center"/>
            <w:tcMar>
              <w:top w:w="100" w:type="dxa"/>
              <w:start w:w="120" w:type="dxa"/>
              <w:bottom w:w="100" w:type="dxa"/>
              <w:end w:w="120" w:type="dxa"/>
            </w:tcMar>
          </w:tcPr>
          <w:p>
            <w:pPr>
              <w:spacing w:after="0"/>
            </w:pPr>
            <w:r>
              <w:rPr>
                <w:rFonts w:ascii="Aptos" w:hAnsi="Aptos"/>
                <w:b w:val="0"/>
                <w:color w:val="263238"/>
                <w:sz w:val="16"/>
              </w:rPr>
              <w:t>Logistic Regression</w:t>
            </w:r>
          </w:p>
        </w:tc>
        <w:tc>
          <w:tcPr>
            <w:tcW w:type="dxa" w:w="1728"/>
            <w:vAlign w:val="center"/>
            <w:tcMar>
              <w:top w:w="100" w:type="dxa"/>
              <w:start w:w="120" w:type="dxa"/>
              <w:bottom w:w="100" w:type="dxa"/>
              <w:end w:w="120" w:type="dxa"/>
            </w:tcMar>
          </w:tcPr>
          <w:p>
            <w:pPr>
              <w:spacing w:after="0"/>
            </w:pPr>
            <w:r>
              <w:rPr>
                <w:rFonts w:ascii="Aptos" w:hAnsi="Aptos"/>
                <w:b w:val="0"/>
                <w:color w:val="263238"/>
                <w:sz w:val="16"/>
              </w:rPr>
              <w:t>0.835 ± 0.043</w:t>
            </w:r>
          </w:p>
        </w:tc>
        <w:tc>
          <w:tcPr>
            <w:tcW w:type="dxa" w:w="1728"/>
            <w:vAlign w:val="center"/>
            <w:tcMar>
              <w:top w:w="100" w:type="dxa"/>
              <w:start w:w="120" w:type="dxa"/>
              <w:bottom w:w="100" w:type="dxa"/>
              <w:end w:w="120" w:type="dxa"/>
            </w:tcMar>
          </w:tcPr>
          <w:p>
            <w:pPr>
              <w:spacing w:after="0"/>
            </w:pPr>
            <w:r>
              <w:rPr>
                <w:rFonts w:ascii="Aptos" w:hAnsi="Aptos"/>
                <w:b w:val="0"/>
                <w:color w:val="263238"/>
                <w:sz w:val="16"/>
              </w:rPr>
              <w:t>0.831 ± 0.016</w:t>
            </w:r>
          </w:p>
        </w:tc>
        <w:tc>
          <w:tcPr>
            <w:tcW w:type="dxa" w:w="1440"/>
            <w:vAlign w:val="center"/>
            <w:tcMar>
              <w:top w:w="100" w:type="dxa"/>
              <w:start w:w="120" w:type="dxa"/>
              <w:bottom w:w="100" w:type="dxa"/>
              <w:end w:w="120" w:type="dxa"/>
            </w:tcMar>
          </w:tcPr>
          <w:p>
            <w:pPr>
              <w:spacing w:after="0"/>
            </w:pPr>
            <w:r>
              <w:rPr>
                <w:rFonts w:ascii="Aptos" w:hAnsi="Aptos"/>
                <w:b w:val="0"/>
                <w:color w:val="263238"/>
                <w:sz w:val="16"/>
              </w:rPr>
              <w:t>0.802 ± 0.104</w:t>
            </w:r>
          </w:p>
        </w:tc>
        <w:tc>
          <w:tcPr>
            <w:tcW w:type="dxa" w:w="1584"/>
            <w:vAlign w:val="center"/>
            <w:tcMar>
              <w:top w:w="100" w:type="dxa"/>
              <w:start w:w="120" w:type="dxa"/>
              <w:bottom w:w="100" w:type="dxa"/>
              <w:end w:w="120" w:type="dxa"/>
            </w:tcMar>
          </w:tcPr>
          <w:p>
            <w:pPr>
              <w:spacing w:after="0"/>
            </w:pPr>
            <w:r>
              <w:rPr>
                <w:rFonts w:ascii="Aptos" w:hAnsi="Aptos"/>
                <w:b w:val="0"/>
                <w:color w:val="263238"/>
                <w:sz w:val="16"/>
              </w:rPr>
              <w:t>0.899 ± 0.033</w:t>
            </w:r>
          </w:p>
        </w:tc>
      </w:tr>
      <w:tr>
        <w:tc>
          <w:tcPr>
            <w:tcW w:type="dxa" w:w="2448"/>
            <w:vAlign w:val="center"/>
            <w:tcMar>
              <w:top w:w="100" w:type="dxa"/>
              <w:start w:w="120" w:type="dxa"/>
              <w:bottom w:w="100" w:type="dxa"/>
              <w:end w:w="120" w:type="dxa"/>
            </w:tcMar>
            <w:shd w:fill="F3F6F9"/>
          </w:tcPr>
          <w:p>
            <w:pPr>
              <w:spacing w:after="0"/>
            </w:pPr>
            <w:r>
              <w:rPr>
                <w:rFonts w:ascii="Aptos" w:hAnsi="Aptos"/>
                <w:b w:val="0"/>
                <w:color w:val="263238"/>
                <w:sz w:val="16"/>
              </w:rPr>
              <w:t>Random Forest</w:t>
            </w:r>
          </w:p>
        </w:tc>
        <w:tc>
          <w:tcPr>
            <w:tcW w:type="dxa" w:w="1728"/>
            <w:vAlign w:val="center"/>
            <w:tcMar>
              <w:top w:w="100" w:type="dxa"/>
              <w:start w:w="120" w:type="dxa"/>
              <w:bottom w:w="100" w:type="dxa"/>
              <w:end w:w="120" w:type="dxa"/>
            </w:tcMar>
            <w:shd w:fill="F3F6F9"/>
          </w:tcPr>
          <w:p>
            <w:pPr>
              <w:spacing w:after="0"/>
            </w:pPr>
            <w:r>
              <w:rPr>
                <w:rFonts w:ascii="Aptos" w:hAnsi="Aptos"/>
                <w:b w:val="0"/>
                <w:color w:val="263238"/>
                <w:sz w:val="16"/>
              </w:rPr>
              <w:t>0.814 ± 0.050</w:t>
            </w:r>
          </w:p>
        </w:tc>
        <w:tc>
          <w:tcPr>
            <w:tcW w:type="dxa" w:w="1728"/>
            <w:vAlign w:val="center"/>
            <w:tcMar>
              <w:top w:w="100" w:type="dxa"/>
              <w:start w:w="120" w:type="dxa"/>
              <w:bottom w:w="100" w:type="dxa"/>
              <w:end w:w="120" w:type="dxa"/>
            </w:tcMar>
            <w:shd w:fill="F3F6F9"/>
          </w:tcPr>
          <w:p>
            <w:pPr>
              <w:spacing w:after="0"/>
            </w:pPr>
            <w:r>
              <w:rPr>
                <w:rFonts w:ascii="Aptos" w:hAnsi="Aptos"/>
                <w:b w:val="0"/>
                <w:color w:val="263238"/>
                <w:sz w:val="16"/>
              </w:rPr>
              <w:t>0.805 ± 0.046</w:t>
            </w:r>
          </w:p>
        </w:tc>
        <w:tc>
          <w:tcPr>
            <w:tcW w:type="dxa" w:w="1440"/>
            <w:vAlign w:val="center"/>
            <w:tcMar>
              <w:top w:w="100" w:type="dxa"/>
              <w:start w:w="120" w:type="dxa"/>
              <w:bottom w:w="100" w:type="dxa"/>
              <w:end w:w="120" w:type="dxa"/>
            </w:tcMar>
            <w:shd w:fill="F3F6F9"/>
          </w:tcPr>
          <w:p>
            <w:pPr>
              <w:spacing w:after="0"/>
            </w:pPr>
            <w:r>
              <w:rPr>
                <w:rFonts w:ascii="Aptos" w:hAnsi="Aptos"/>
                <w:b w:val="0"/>
                <w:color w:val="263238"/>
                <w:sz w:val="16"/>
              </w:rPr>
              <w:t>0.785 ± 0.085</w:t>
            </w:r>
          </w:p>
        </w:tc>
        <w:tc>
          <w:tcPr>
            <w:tcW w:type="dxa" w:w="1584"/>
            <w:vAlign w:val="center"/>
            <w:tcMar>
              <w:top w:w="100" w:type="dxa"/>
              <w:start w:w="120" w:type="dxa"/>
              <w:bottom w:w="100" w:type="dxa"/>
              <w:end w:w="120" w:type="dxa"/>
            </w:tcMar>
            <w:shd w:fill="F3F6F9"/>
          </w:tcPr>
          <w:p>
            <w:pPr>
              <w:spacing w:after="0"/>
            </w:pPr>
            <w:r>
              <w:rPr>
                <w:rFonts w:ascii="Aptos" w:hAnsi="Aptos"/>
                <w:b w:val="0"/>
                <w:color w:val="263238"/>
                <w:sz w:val="16"/>
              </w:rPr>
              <w:t>0.898 ± 0.046</w:t>
            </w:r>
          </w:p>
        </w:tc>
      </w:tr>
    </w:tbl>
    <w:p>
      <w:pPr>
        <w:spacing w:before="0" w:after="120" w:line="269" w:lineRule="auto"/>
      </w:pPr>
      <w:r>
        <w:rPr>
          <w:rFonts w:ascii="Aptos" w:hAnsi="Aptos"/>
          <w:b w:val="0"/>
          <w:color w:val="263238"/>
          <w:sz w:val="21"/>
        </w:rPr>
        <w:t>Table 2 reports the held-out 20% test results.</w:t>
      </w:r>
    </w:p>
    <w:tbl>
      <w:tblPr>
        <w:tblStyle w:val="TableGrid"/>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99"/>
        <w:gridCol w:w="1999"/>
        <w:gridCol w:w="1999"/>
        <w:gridCol w:w="1999"/>
        <w:gridCol w:w="1999"/>
      </w:tblGrid>
      <w:tr>
        <w:tc>
          <w:tcPr>
            <w:tcW w:type="dxa" w:w="2448"/>
            <w:vAlign w:val="center"/>
            <w:shd w:fill="17324D"/>
            <w:tcMar>
              <w:top w:w="100" w:type="dxa"/>
              <w:start w:w="120" w:type="dxa"/>
              <w:bottom w:w="100" w:type="dxa"/>
              <w:end w:w="120" w:type="dxa"/>
            </w:tcMar>
          </w:tcPr>
          <w:p>
            <w:r>
              <w:rPr>
                <w:rFonts w:ascii="Aptos" w:hAnsi="Aptos"/>
                <w:b/>
                <w:color w:val="FFFFFF"/>
                <w:sz w:val="16"/>
              </w:rPr>
              <w:t>Model</w:t>
            </w:r>
          </w:p>
        </w:tc>
        <w:tc>
          <w:tcPr>
            <w:tcW w:type="dxa" w:w="1728"/>
            <w:vAlign w:val="center"/>
            <w:shd w:fill="17324D"/>
            <w:tcMar>
              <w:top w:w="100" w:type="dxa"/>
              <w:start w:w="120" w:type="dxa"/>
              <w:bottom w:w="100" w:type="dxa"/>
              <w:end w:w="120" w:type="dxa"/>
            </w:tcMar>
          </w:tcPr>
          <w:p>
            <w:r>
              <w:rPr>
                <w:rFonts w:ascii="Aptos" w:hAnsi="Aptos"/>
                <w:b/>
                <w:color w:val="FFFFFF"/>
                <w:sz w:val="16"/>
              </w:rPr>
              <w:t>Accuracy</w:t>
            </w:r>
          </w:p>
        </w:tc>
        <w:tc>
          <w:tcPr>
            <w:tcW w:type="dxa" w:w="1728"/>
            <w:vAlign w:val="center"/>
            <w:shd w:fill="17324D"/>
            <w:tcMar>
              <w:top w:w="100" w:type="dxa"/>
              <w:start w:w="120" w:type="dxa"/>
              <w:bottom w:w="100" w:type="dxa"/>
              <w:end w:w="120" w:type="dxa"/>
            </w:tcMar>
          </w:tcPr>
          <w:p>
            <w:r>
              <w:rPr>
                <w:rFonts w:ascii="Aptos" w:hAnsi="Aptos"/>
                <w:b/>
                <w:color w:val="FFFFFF"/>
                <w:sz w:val="16"/>
              </w:rPr>
              <w:t>Precision</w:t>
            </w:r>
          </w:p>
        </w:tc>
        <w:tc>
          <w:tcPr>
            <w:tcW w:type="dxa" w:w="1440"/>
            <w:vAlign w:val="center"/>
            <w:shd w:fill="17324D"/>
            <w:tcMar>
              <w:top w:w="100" w:type="dxa"/>
              <w:start w:w="120" w:type="dxa"/>
              <w:bottom w:w="100" w:type="dxa"/>
              <w:end w:w="120" w:type="dxa"/>
            </w:tcMar>
          </w:tcPr>
          <w:p>
            <w:r>
              <w:rPr>
                <w:rFonts w:ascii="Aptos" w:hAnsi="Aptos"/>
                <w:b/>
                <w:color w:val="FFFFFF"/>
                <w:sz w:val="16"/>
              </w:rPr>
              <w:t>Recall</w:t>
            </w:r>
          </w:p>
        </w:tc>
        <w:tc>
          <w:tcPr>
            <w:tcW w:type="dxa" w:w="1584"/>
            <w:vAlign w:val="center"/>
            <w:shd w:fill="17324D"/>
            <w:tcMar>
              <w:top w:w="100" w:type="dxa"/>
              <w:start w:w="120" w:type="dxa"/>
              <w:bottom w:w="100" w:type="dxa"/>
              <w:end w:w="120" w:type="dxa"/>
            </w:tcMar>
          </w:tcPr>
          <w:p>
            <w:r>
              <w:rPr>
                <w:rFonts w:ascii="Aptos" w:hAnsi="Aptos"/>
                <w:b/>
                <w:color w:val="FFFFFF"/>
                <w:sz w:val="16"/>
              </w:rPr>
              <w:t>ROC-AUC</w:t>
            </w:r>
          </w:p>
        </w:tc>
      </w:tr>
      <w:tr>
        <w:tc>
          <w:tcPr>
            <w:tcW w:type="dxa" w:w="2448"/>
            <w:vAlign w:val="center"/>
            <w:tcMar>
              <w:top w:w="100" w:type="dxa"/>
              <w:start w:w="120" w:type="dxa"/>
              <w:bottom w:w="100" w:type="dxa"/>
              <w:end w:w="120" w:type="dxa"/>
            </w:tcMar>
          </w:tcPr>
          <w:p>
            <w:pPr>
              <w:spacing w:after="0"/>
            </w:pPr>
            <w:r>
              <w:rPr>
                <w:rFonts w:ascii="Aptos" w:hAnsi="Aptos"/>
                <w:b w:val="0"/>
                <w:color w:val="263238"/>
                <w:sz w:val="16"/>
              </w:rPr>
              <w:t>Logistic Regression</w:t>
            </w:r>
          </w:p>
        </w:tc>
        <w:tc>
          <w:tcPr>
            <w:tcW w:type="dxa" w:w="1728"/>
            <w:vAlign w:val="center"/>
            <w:tcMar>
              <w:top w:w="100" w:type="dxa"/>
              <w:start w:w="120" w:type="dxa"/>
              <w:bottom w:w="100" w:type="dxa"/>
              <w:end w:w="120" w:type="dxa"/>
            </w:tcMar>
          </w:tcPr>
          <w:p>
            <w:pPr>
              <w:spacing w:after="0"/>
            </w:pPr>
            <w:r>
              <w:rPr>
                <w:rFonts w:ascii="Aptos" w:hAnsi="Aptos"/>
                <w:b w:val="0"/>
                <w:color w:val="263238"/>
                <w:sz w:val="16"/>
              </w:rPr>
              <w:t>0.918</w:t>
            </w:r>
          </w:p>
        </w:tc>
        <w:tc>
          <w:tcPr>
            <w:tcW w:type="dxa" w:w="1728"/>
            <w:vAlign w:val="center"/>
            <w:tcMar>
              <w:top w:w="100" w:type="dxa"/>
              <w:start w:w="120" w:type="dxa"/>
              <w:bottom w:w="100" w:type="dxa"/>
              <w:end w:w="120" w:type="dxa"/>
            </w:tcMar>
          </w:tcPr>
          <w:p>
            <w:pPr>
              <w:spacing w:after="0"/>
            </w:pPr>
            <w:r>
              <w:rPr>
                <w:rFonts w:ascii="Aptos" w:hAnsi="Aptos"/>
                <w:b w:val="0"/>
                <w:color w:val="263238"/>
                <w:sz w:val="16"/>
              </w:rPr>
              <w:t>0.960</w:t>
            </w:r>
          </w:p>
        </w:tc>
        <w:tc>
          <w:tcPr>
            <w:tcW w:type="dxa" w:w="1440"/>
            <w:vAlign w:val="center"/>
            <w:tcMar>
              <w:top w:w="100" w:type="dxa"/>
              <w:start w:w="120" w:type="dxa"/>
              <w:bottom w:w="100" w:type="dxa"/>
              <w:end w:w="120" w:type="dxa"/>
            </w:tcMar>
          </w:tcPr>
          <w:p>
            <w:pPr>
              <w:spacing w:after="0"/>
            </w:pPr>
            <w:r>
              <w:rPr>
                <w:rFonts w:ascii="Aptos" w:hAnsi="Aptos"/>
                <w:b w:val="0"/>
                <w:color w:val="263238"/>
                <w:sz w:val="16"/>
              </w:rPr>
              <w:t>0.857</w:t>
            </w:r>
          </w:p>
        </w:tc>
        <w:tc>
          <w:tcPr>
            <w:tcW w:type="dxa" w:w="1584"/>
            <w:vAlign w:val="center"/>
            <w:tcMar>
              <w:top w:w="100" w:type="dxa"/>
              <w:start w:w="120" w:type="dxa"/>
              <w:bottom w:w="100" w:type="dxa"/>
              <w:end w:w="120" w:type="dxa"/>
            </w:tcMar>
          </w:tcPr>
          <w:p>
            <w:pPr>
              <w:spacing w:after="0"/>
            </w:pPr>
            <w:r>
              <w:rPr>
                <w:rFonts w:ascii="Aptos" w:hAnsi="Aptos"/>
                <w:b w:val="0"/>
                <w:color w:val="263238"/>
                <w:sz w:val="16"/>
              </w:rPr>
              <w:t>0.974</w:t>
            </w:r>
          </w:p>
        </w:tc>
      </w:tr>
      <w:tr>
        <w:tc>
          <w:tcPr>
            <w:tcW w:type="dxa" w:w="2448"/>
            <w:vAlign w:val="center"/>
            <w:tcMar>
              <w:top w:w="100" w:type="dxa"/>
              <w:start w:w="120" w:type="dxa"/>
              <w:bottom w:w="100" w:type="dxa"/>
              <w:end w:w="120" w:type="dxa"/>
            </w:tcMar>
            <w:shd w:fill="F3F6F9"/>
          </w:tcPr>
          <w:p>
            <w:pPr>
              <w:spacing w:after="0"/>
            </w:pPr>
            <w:r>
              <w:rPr>
                <w:rFonts w:ascii="Aptos" w:hAnsi="Aptos"/>
                <w:b w:val="0"/>
                <w:color w:val="263238"/>
                <w:sz w:val="16"/>
              </w:rPr>
              <w:t>Random Forest</w:t>
            </w:r>
          </w:p>
        </w:tc>
        <w:tc>
          <w:tcPr>
            <w:tcW w:type="dxa" w:w="1728"/>
            <w:vAlign w:val="center"/>
            <w:tcMar>
              <w:top w:w="100" w:type="dxa"/>
              <w:start w:w="120" w:type="dxa"/>
              <w:bottom w:w="100" w:type="dxa"/>
              <w:end w:w="120" w:type="dxa"/>
            </w:tcMar>
            <w:shd w:fill="F3F6F9"/>
          </w:tcPr>
          <w:p>
            <w:pPr>
              <w:spacing w:after="0"/>
            </w:pPr>
            <w:r>
              <w:rPr>
                <w:rFonts w:ascii="Aptos" w:hAnsi="Aptos"/>
                <w:b w:val="0"/>
                <w:color w:val="263238"/>
                <w:sz w:val="16"/>
              </w:rPr>
              <w:t>0.902</w:t>
            </w:r>
          </w:p>
        </w:tc>
        <w:tc>
          <w:tcPr>
            <w:tcW w:type="dxa" w:w="1728"/>
            <w:vAlign w:val="center"/>
            <w:tcMar>
              <w:top w:w="100" w:type="dxa"/>
              <w:start w:w="120" w:type="dxa"/>
              <w:bottom w:w="100" w:type="dxa"/>
              <w:end w:w="120" w:type="dxa"/>
            </w:tcMar>
            <w:shd w:fill="F3F6F9"/>
          </w:tcPr>
          <w:p>
            <w:pPr>
              <w:spacing w:after="0"/>
            </w:pPr>
            <w:r>
              <w:rPr>
                <w:rFonts w:ascii="Aptos" w:hAnsi="Aptos"/>
                <w:b w:val="0"/>
                <w:color w:val="263238"/>
                <w:sz w:val="16"/>
              </w:rPr>
              <w:t>0.958</w:t>
            </w:r>
          </w:p>
        </w:tc>
        <w:tc>
          <w:tcPr>
            <w:tcW w:type="dxa" w:w="1440"/>
            <w:vAlign w:val="center"/>
            <w:tcMar>
              <w:top w:w="100" w:type="dxa"/>
              <w:start w:w="120" w:type="dxa"/>
              <w:bottom w:w="100" w:type="dxa"/>
              <w:end w:w="120" w:type="dxa"/>
            </w:tcMar>
            <w:shd w:fill="F3F6F9"/>
          </w:tcPr>
          <w:p>
            <w:pPr>
              <w:spacing w:after="0"/>
            </w:pPr>
            <w:r>
              <w:rPr>
                <w:rFonts w:ascii="Aptos" w:hAnsi="Aptos"/>
                <w:b w:val="0"/>
                <w:color w:val="263238"/>
                <w:sz w:val="16"/>
              </w:rPr>
              <w:t>0.821</w:t>
            </w:r>
          </w:p>
        </w:tc>
        <w:tc>
          <w:tcPr>
            <w:tcW w:type="dxa" w:w="1584"/>
            <w:vAlign w:val="center"/>
            <w:tcMar>
              <w:top w:w="100" w:type="dxa"/>
              <w:start w:w="120" w:type="dxa"/>
              <w:bottom w:w="100" w:type="dxa"/>
              <w:end w:w="120" w:type="dxa"/>
            </w:tcMar>
            <w:shd w:fill="F3F6F9"/>
          </w:tcPr>
          <w:p>
            <w:pPr>
              <w:spacing w:after="0"/>
            </w:pPr>
            <w:r>
              <w:rPr>
                <w:rFonts w:ascii="Aptos" w:hAnsi="Aptos"/>
                <w:b w:val="0"/>
                <w:color w:val="263238"/>
                <w:sz w:val="16"/>
              </w:rPr>
              <w:t>0.965</w:t>
            </w:r>
          </w:p>
        </w:tc>
      </w:tr>
    </w:tbl>
    <w:p>
      <w:pPr>
        <w:pStyle w:val="Heading1"/>
        <w:keepNext/>
        <w:spacing w:before="100" w:after="140"/>
      </w:pPr>
      <w:r>
        <w:rPr>
          <w:rFonts w:ascii="Aptos" w:hAnsi="Aptos"/>
          <w:b/>
          <w:color w:val="000000"/>
          <w:sz w:val="34"/>
        </w:rPr>
        <w:t>Selection</w:t>
      </w:r>
    </w:p>
    <w:p>
      <w:pPr>
        <w:spacing w:before="0" w:after="120" w:line="269" w:lineRule="auto"/>
      </w:pPr>
      <w:r>
        <w:rPr>
          <w:rFonts w:ascii="Aptos" w:hAnsi="Aptos"/>
          <w:b w:val="0"/>
          <w:color w:val="263238"/>
          <w:sz w:val="21"/>
        </w:rPr>
        <w:t>Logistic Regression is selected because it achieved the highest mean cross-validation ROC-AUC (0.899). Its margin over the other candidate is very small relative to fold-to-fold variation, so this run does not show a decisive model separation. The ranking rule is fixed before the holdout comparison; the holdout is not used to select hyperparameters. The selected parameters are recorded in metrics.json and the MLflow run.</w:t>
      </w:r>
    </w:p>
    <w:p>
      <w:pPr>
        <w:spacing w:before="0" w:after="120" w:line="269" w:lineRule="auto"/>
      </w:pPr>
      <w:r>
        <w:rPr>
          <w:rFonts w:ascii="Aptos" w:hAnsi="Aptos"/>
          <w:b w:val="0"/>
          <w:color w:val="53616F"/>
          <w:sz w:val="19"/>
        </w:rPr>
        <w:t>These values are experimental estimates on a small historical sample. They are not medical thresholds, and the API output must not guide patient care.</w:t>
      </w:r>
    </w:p>
    <w:p>
      <w:r>
        <w:br w:type="page"/>
      </w:r>
    </w:p>
    <w:p>
      <w:pPr>
        <w:spacing w:after="100"/>
      </w:pPr>
      <w:r>
        <w:rPr>
          <w:rFonts w:ascii="Aptos" w:hAnsi="Aptos"/>
          <w:b/>
          <w:color w:val="2F6690"/>
          <w:sz w:val="17"/>
        </w:rPr>
        <w:t>05  |  EXPERIMENT TRACKING</w:t>
      </w:r>
    </w:p>
    <w:p>
      <w:pPr>
        <w:pStyle w:val="Heading1"/>
        <w:keepNext/>
        <w:spacing w:before="100" w:after="140"/>
      </w:pPr>
      <w:r>
        <w:rPr>
          <w:rFonts w:ascii="Aptos" w:hAnsi="Aptos"/>
          <w:b/>
          <w:color w:val="000000"/>
          <w:sz w:val="34"/>
        </w:rPr>
        <w:t>MLflow and reproducible artifacts</w:t>
      </w:r>
    </w:p>
    <w:p>
      <w:pPr>
        <w:spacing w:before="0" w:after="120" w:line="269" w:lineRule="auto"/>
      </w:pPr>
      <w:r>
        <w:rPr>
          <w:rFonts w:ascii="Aptos" w:hAnsi="Aptos"/>
          <w:b w:val="0"/>
          <w:color w:val="263238"/>
          <w:sz w:val="21"/>
        </w:rPr>
        <w:t>Each candidate run records the model name, chosen hyperparameters, cross-validation metrics, holdout metrics, fitted pipeline, and holdout ROC curve. The default tracking URI is a local file store under mlruns/. Run the UI from the repository root with mlflow ui to inspect the experiment. A separate metrics.json and model_comparison.csv make the result readable without opening the tracking interface. Model signatures use numeric input fields with a type that can represent missing values, matching the preprocessing contract.</w:t>
      </w:r>
    </w:p>
    <w:tbl>
      <w:tblPr>
        <w:tblStyle w:val="TableGrid"/>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c>
          <w:tcPr>
            <w:tcW w:type="dxa" w:w="2880"/>
            <w:vAlign w:val="center"/>
            <w:shd w:fill="17324D"/>
            <w:tcMar>
              <w:top w:w="100" w:type="dxa"/>
              <w:start w:w="120" w:type="dxa"/>
              <w:bottom w:w="100" w:type="dxa"/>
              <w:end w:w="120" w:type="dxa"/>
            </w:tcMar>
          </w:tcPr>
          <w:p>
            <w:r>
              <w:rPr>
                <w:rFonts w:ascii="Aptos" w:hAnsi="Aptos"/>
                <w:b/>
                <w:color w:val="FFFFFF"/>
                <w:sz w:val="17"/>
              </w:rPr>
              <w:t>Artifact</w:t>
            </w:r>
          </w:p>
        </w:tc>
        <w:tc>
          <w:tcPr>
            <w:tcW w:type="dxa" w:w="3960"/>
            <w:vAlign w:val="center"/>
            <w:shd w:fill="17324D"/>
            <w:tcMar>
              <w:top w:w="100" w:type="dxa"/>
              <w:start w:w="120" w:type="dxa"/>
              <w:bottom w:w="100" w:type="dxa"/>
              <w:end w:w="120" w:type="dxa"/>
            </w:tcMar>
          </w:tcPr>
          <w:p>
            <w:r>
              <w:rPr>
                <w:rFonts w:ascii="Aptos" w:hAnsi="Aptos"/>
                <w:b/>
                <w:color w:val="FFFFFF"/>
                <w:sz w:val="17"/>
              </w:rPr>
              <w:t>Contents</w:t>
            </w:r>
          </w:p>
        </w:tc>
        <w:tc>
          <w:tcPr>
            <w:tcW w:type="dxa" w:w="2376"/>
            <w:vAlign w:val="center"/>
            <w:shd w:fill="17324D"/>
            <w:tcMar>
              <w:top w:w="100" w:type="dxa"/>
              <w:start w:w="120" w:type="dxa"/>
              <w:bottom w:w="100" w:type="dxa"/>
              <w:end w:w="120" w:type="dxa"/>
            </w:tcMar>
          </w:tcPr>
          <w:p>
            <w:r>
              <w:rPr>
                <w:rFonts w:ascii="Aptos" w:hAnsi="Aptos"/>
                <w:b/>
                <w:color w:val="FFFFFF"/>
                <w:sz w:val="17"/>
              </w:rPr>
              <w:t>Use</w:t>
            </w:r>
          </w:p>
        </w:tc>
      </w:tr>
      <w:tr>
        <w:tc>
          <w:tcPr>
            <w:tcW w:type="dxa" w:w="2880"/>
            <w:vAlign w:val="center"/>
            <w:tcMar>
              <w:top w:w="100" w:type="dxa"/>
              <w:start w:w="120" w:type="dxa"/>
              <w:bottom w:w="100" w:type="dxa"/>
              <w:end w:w="120" w:type="dxa"/>
            </w:tcMar>
          </w:tcPr>
          <w:p>
            <w:pPr>
              <w:spacing w:after="0"/>
            </w:pPr>
            <w:r>
              <w:rPr>
                <w:rFonts w:ascii="Aptos" w:hAnsi="Aptos"/>
                <w:b w:val="0"/>
                <w:color w:val="263238"/>
                <w:sz w:val="17"/>
              </w:rPr>
              <w:t>heart_disease_model.joblib</w:t>
            </w:r>
          </w:p>
        </w:tc>
        <w:tc>
          <w:tcPr>
            <w:tcW w:type="dxa" w:w="3960"/>
            <w:vAlign w:val="center"/>
            <w:tcMar>
              <w:top w:w="100" w:type="dxa"/>
              <w:start w:w="120" w:type="dxa"/>
              <w:bottom w:w="100" w:type="dxa"/>
              <w:end w:w="120" w:type="dxa"/>
            </w:tcMar>
          </w:tcPr>
          <w:p>
            <w:pPr>
              <w:spacing w:after="0"/>
            </w:pPr>
            <w:r>
              <w:rPr>
                <w:rFonts w:ascii="Aptos" w:hAnsi="Aptos"/>
                <w:b w:val="0"/>
                <w:color w:val="263238"/>
                <w:sz w:val="17"/>
              </w:rPr>
              <w:t>Preprocessor plus selected estimator</w:t>
            </w:r>
          </w:p>
        </w:tc>
        <w:tc>
          <w:tcPr>
            <w:tcW w:type="dxa" w:w="2376"/>
            <w:vAlign w:val="center"/>
            <w:tcMar>
              <w:top w:w="100" w:type="dxa"/>
              <w:start w:w="120" w:type="dxa"/>
              <w:bottom w:w="100" w:type="dxa"/>
              <w:end w:w="120" w:type="dxa"/>
            </w:tcMar>
          </w:tcPr>
          <w:p>
            <w:pPr>
              <w:spacing w:after="0"/>
            </w:pPr>
            <w:r>
              <w:rPr>
                <w:rFonts w:ascii="Aptos" w:hAnsi="Aptos"/>
                <w:b w:val="0"/>
                <w:color w:val="263238"/>
                <w:sz w:val="17"/>
              </w:rPr>
              <w:t>API inference</w:t>
            </w:r>
          </w:p>
        </w:tc>
      </w:tr>
      <w:tr>
        <w:tc>
          <w:tcPr>
            <w:tcW w:type="dxa" w:w="2880"/>
            <w:vAlign w:val="center"/>
            <w:tcMar>
              <w:top w:w="100" w:type="dxa"/>
              <w:start w:w="120" w:type="dxa"/>
              <w:bottom w:w="100" w:type="dxa"/>
              <w:end w:w="120" w:type="dxa"/>
            </w:tcMar>
            <w:shd w:fill="F3F6F9"/>
          </w:tcPr>
          <w:p>
            <w:pPr>
              <w:spacing w:after="0"/>
            </w:pPr>
            <w:r>
              <w:rPr>
                <w:rFonts w:ascii="Aptos" w:hAnsi="Aptos"/>
                <w:b w:val="0"/>
                <w:color w:val="263238"/>
                <w:sz w:val="17"/>
              </w:rPr>
              <w:t>model_metadata.json</w:t>
            </w:r>
          </w:p>
        </w:tc>
        <w:tc>
          <w:tcPr>
            <w:tcW w:type="dxa" w:w="3960"/>
            <w:vAlign w:val="center"/>
            <w:tcMar>
              <w:top w:w="100" w:type="dxa"/>
              <w:start w:w="120" w:type="dxa"/>
              <w:bottom w:w="100" w:type="dxa"/>
              <w:end w:w="120" w:type="dxa"/>
            </w:tcMar>
            <w:shd w:fill="F3F6F9"/>
          </w:tcPr>
          <w:p>
            <w:pPr>
              <w:spacing w:after="0"/>
            </w:pPr>
            <w:r>
              <w:rPr>
                <w:rFonts w:ascii="Aptos" w:hAnsi="Aptos"/>
                <w:b w:val="0"/>
                <w:color w:val="263238"/>
                <w:sz w:val="17"/>
              </w:rPr>
              <w:t>Model family, parameters, features, time</w:t>
            </w:r>
          </w:p>
        </w:tc>
        <w:tc>
          <w:tcPr>
            <w:tcW w:type="dxa" w:w="2376"/>
            <w:vAlign w:val="center"/>
            <w:tcMar>
              <w:top w:w="100" w:type="dxa"/>
              <w:start w:w="120" w:type="dxa"/>
              <w:bottom w:w="100" w:type="dxa"/>
              <w:end w:w="120" w:type="dxa"/>
            </w:tcMar>
            <w:shd w:fill="F3F6F9"/>
          </w:tcPr>
          <w:p>
            <w:pPr>
              <w:spacing w:after="0"/>
            </w:pPr>
            <w:r>
              <w:rPr>
                <w:rFonts w:ascii="Aptos" w:hAnsi="Aptos"/>
                <w:b w:val="0"/>
                <w:color w:val="263238"/>
                <w:sz w:val="17"/>
              </w:rPr>
              <w:t>Model identity</w:t>
            </w:r>
          </w:p>
        </w:tc>
      </w:tr>
      <w:tr>
        <w:tc>
          <w:tcPr>
            <w:tcW w:type="dxa" w:w="2880"/>
            <w:vAlign w:val="center"/>
            <w:tcMar>
              <w:top w:w="100" w:type="dxa"/>
              <w:start w:w="120" w:type="dxa"/>
              <w:bottom w:w="100" w:type="dxa"/>
              <w:end w:w="120" w:type="dxa"/>
            </w:tcMar>
          </w:tcPr>
          <w:p>
            <w:pPr>
              <w:spacing w:after="0"/>
            </w:pPr>
            <w:r>
              <w:rPr>
                <w:rFonts w:ascii="Aptos" w:hAnsi="Aptos"/>
                <w:b w:val="0"/>
                <w:color w:val="263238"/>
                <w:sz w:val="17"/>
              </w:rPr>
              <w:t>metrics.json</w:t>
            </w:r>
          </w:p>
        </w:tc>
        <w:tc>
          <w:tcPr>
            <w:tcW w:type="dxa" w:w="3960"/>
            <w:vAlign w:val="center"/>
            <w:tcMar>
              <w:top w:w="100" w:type="dxa"/>
              <w:start w:w="120" w:type="dxa"/>
              <w:bottom w:w="100" w:type="dxa"/>
              <w:end w:w="120" w:type="dxa"/>
            </w:tcMar>
          </w:tcPr>
          <w:p>
            <w:pPr>
              <w:spacing w:after="0"/>
            </w:pPr>
            <w:r>
              <w:rPr>
                <w:rFonts w:ascii="Aptos" w:hAnsi="Aptos"/>
                <w:b w:val="0"/>
                <w:color w:val="263238"/>
                <w:sz w:val="17"/>
              </w:rPr>
              <w:t>Data snapshot, selection, CV and holdout results</w:t>
            </w:r>
          </w:p>
        </w:tc>
        <w:tc>
          <w:tcPr>
            <w:tcW w:type="dxa" w:w="2376"/>
            <w:vAlign w:val="center"/>
            <w:tcMar>
              <w:top w:w="100" w:type="dxa"/>
              <w:start w:w="120" w:type="dxa"/>
              <w:bottom w:w="100" w:type="dxa"/>
              <w:end w:w="120" w:type="dxa"/>
            </w:tcMar>
          </w:tcPr>
          <w:p>
            <w:pPr>
              <w:spacing w:after="0"/>
            </w:pPr>
            <w:r>
              <w:rPr>
                <w:rFonts w:ascii="Aptos" w:hAnsi="Aptos"/>
                <w:b w:val="0"/>
                <w:color w:val="263238"/>
                <w:sz w:val="17"/>
              </w:rPr>
              <w:t>Reporting and audit</w:t>
            </w:r>
          </w:p>
        </w:tc>
      </w:tr>
      <w:tr>
        <w:tc>
          <w:tcPr>
            <w:tcW w:type="dxa" w:w="2880"/>
            <w:vAlign w:val="center"/>
            <w:tcMar>
              <w:top w:w="100" w:type="dxa"/>
              <w:start w:w="120" w:type="dxa"/>
              <w:bottom w:w="100" w:type="dxa"/>
              <w:end w:w="120" w:type="dxa"/>
            </w:tcMar>
            <w:shd w:fill="F3F6F9"/>
          </w:tcPr>
          <w:p>
            <w:pPr>
              <w:spacing w:after="0"/>
            </w:pPr>
            <w:r>
              <w:rPr>
                <w:rFonts w:ascii="Aptos" w:hAnsi="Aptos"/>
                <w:b w:val="0"/>
                <w:color w:val="263238"/>
                <w:sz w:val="17"/>
              </w:rPr>
              <w:t>model_comparison.csv</w:t>
            </w:r>
          </w:p>
        </w:tc>
        <w:tc>
          <w:tcPr>
            <w:tcW w:type="dxa" w:w="3960"/>
            <w:vAlign w:val="center"/>
            <w:tcMar>
              <w:top w:w="100" w:type="dxa"/>
              <w:start w:w="120" w:type="dxa"/>
              <w:bottom w:w="100" w:type="dxa"/>
              <w:end w:w="120" w:type="dxa"/>
            </w:tcMar>
            <w:shd w:fill="F3F6F9"/>
          </w:tcPr>
          <w:p>
            <w:pPr>
              <w:spacing w:after="0"/>
            </w:pPr>
            <w:r>
              <w:rPr>
                <w:rFonts w:ascii="Aptos" w:hAnsi="Aptos"/>
                <w:b w:val="0"/>
                <w:color w:val="263238"/>
                <w:sz w:val="17"/>
              </w:rPr>
              <w:t>One row per candidate</w:t>
            </w:r>
          </w:p>
        </w:tc>
        <w:tc>
          <w:tcPr>
            <w:tcW w:type="dxa" w:w="2376"/>
            <w:vAlign w:val="center"/>
            <w:tcMar>
              <w:top w:w="100" w:type="dxa"/>
              <w:start w:w="120" w:type="dxa"/>
              <w:bottom w:w="100" w:type="dxa"/>
              <w:end w:w="120" w:type="dxa"/>
            </w:tcMar>
            <w:shd w:fill="F3F6F9"/>
          </w:tcPr>
          <w:p>
            <w:pPr>
              <w:spacing w:after="0"/>
            </w:pPr>
            <w:r>
              <w:rPr>
                <w:rFonts w:ascii="Aptos" w:hAnsi="Aptos"/>
                <w:b w:val="0"/>
                <w:color w:val="263238"/>
                <w:sz w:val="17"/>
              </w:rPr>
              <w:t>Quick comparison</w:t>
            </w:r>
          </w:p>
        </w:tc>
      </w:tr>
      <w:tr>
        <w:tc>
          <w:tcPr>
            <w:tcW w:type="dxa" w:w="2880"/>
            <w:vAlign w:val="center"/>
            <w:tcMar>
              <w:top w:w="100" w:type="dxa"/>
              <w:start w:w="120" w:type="dxa"/>
              <w:bottom w:w="100" w:type="dxa"/>
              <w:end w:w="120" w:type="dxa"/>
            </w:tcMar>
          </w:tcPr>
          <w:p>
            <w:pPr>
              <w:spacing w:after="0"/>
            </w:pPr>
            <w:r>
              <w:rPr>
                <w:rFonts w:ascii="Aptos" w:hAnsi="Aptos"/>
                <w:b w:val="0"/>
                <w:color w:val="263238"/>
                <w:sz w:val="17"/>
              </w:rPr>
              <w:t>*_roc.png</w:t>
            </w:r>
          </w:p>
        </w:tc>
        <w:tc>
          <w:tcPr>
            <w:tcW w:type="dxa" w:w="3960"/>
            <w:vAlign w:val="center"/>
            <w:tcMar>
              <w:top w:w="100" w:type="dxa"/>
              <w:start w:w="120" w:type="dxa"/>
              <w:bottom w:w="100" w:type="dxa"/>
              <w:end w:w="120" w:type="dxa"/>
            </w:tcMar>
          </w:tcPr>
          <w:p>
            <w:pPr>
              <w:spacing w:after="0"/>
            </w:pPr>
            <w:r>
              <w:rPr>
                <w:rFonts w:ascii="Aptos" w:hAnsi="Aptos"/>
                <w:b w:val="0"/>
                <w:color w:val="263238"/>
                <w:sz w:val="17"/>
              </w:rPr>
              <w:t>Holdout ROC curve per model</w:t>
            </w:r>
          </w:p>
        </w:tc>
        <w:tc>
          <w:tcPr>
            <w:tcW w:type="dxa" w:w="2376"/>
            <w:vAlign w:val="center"/>
            <w:tcMar>
              <w:top w:w="100" w:type="dxa"/>
              <w:start w:w="120" w:type="dxa"/>
              <w:bottom w:w="100" w:type="dxa"/>
              <w:end w:w="120" w:type="dxa"/>
            </w:tcMar>
          </w:tcPr>
          <w:p>
            <w:pPr>
              <w:spacing w:after="0"/>
            </w:pPr>
            <w:r>
              <w:rPr>
                <w:rFonts w:ascii="Aptos" w:hAnsi="Aptos"/>
                <w:b w:val="0"/>
                <w:color w:val="263238"/>
                <w:sz w:val="17"/>
              </w:rPr>
              <w:t>Visual assessment</w:t>
            </w:r>
          </w:p>
        </w:tc>
      </w:tr>
      <w:tr>
        <w:tc>
          <w:tcPr>
            <w:tcW w:type="dxa" w:w="2880"/>
            <w:vAlign w:val="center"/>
            <w:tcMar>
              <w:top w:w="100" w:type="dxa"/>
              <w:start w:w="120" w:type="dxa"/>
              <w:bottom w:w="100" w:type="dxa"/>
              <w:end w:w="120" w:type="dxa"/>
            </w:tcMar>
            <w:shd w:fill="F3F6F9"/>
          </w:tcPr>
          <w:p>
            <w:pPr>
              <w:spacing w:after="0"/>
            </w:pPr>
            <w:r>
              <w:rPr>
                <w:rFonts w:ascii="Aptos" w:hAnsi="Aptos"/>
                <w:b w:val="0"/>
                <w:color w:val="263238"/>
                <w:sz w:val="17"/>
              </w:rPr>
              <w:t>MLflow runs</w:t>
            </w:r>
          </w:p>
        </w:tc>
        <w:tc>
          <w:tcPr>
            <w:tcW w:type="dxa" w:w="3960"/>
            <w:vAlign w:val="center"/>
            <w:tcMar>
              <w:top w:w="100" w:type="dxa"/>
              <w:start w:w="120" w:type="dxa"/>
              <w:bottom w:w="100" w:type="dxa"/>
              <w:end w:w="120" w:type="dxa"/>
            </w:tcMar>
            <w:shd w:fill="F3F6F9"/>
          </w:tcPr>
          <w:p>
            <w:pPr>
              <w:spacing w:after="0"/>
            </w:pPr>
            <w:r>
              <w:rPr>
                <w:rFonts w:ascii="Aptos" w:hAnsi="Aptos"/>
                <w:b w:val="0"/>
                <w:color w:val="263238"/>
                <w:sz w:val="17"/>
              </w:rPr>
              <w:t>Parameters, metrics, model and plots</w:t>
            </w:r>
          </w:p>
        </w:tc>
        <w:tc>
          <w:tcPr>
            <w:tcW w:type="dxa" w:w="2376"/>
            <w:vAlign w:val="center"/>
            <w:tcMar>
              <w:top w:w="100" w:type="dxa"/>
              <w:start w:w="120" w:type="dxa"/>
              <w:bottom w:w="100" w:type="dxa"/>
              <w:end w:w="120" w:type="dxa"/>
            </w:tcMar>
            <w:shd w:fill="F3F6F9"/>
          </w:tcPr>
          <w:p>
            <w:pPr>
              <w:spacing w:after="0"/>
            </w:pPr>
            <w:r>
              <w:rPr>
                <w:rFonts w:ascii="Aptos" w:hAnsi="Aptos"/>
                <w:b w:val="0"/>
                <w:color w:val="263238"/>
                <w:sz w:val="17"/>
              </w:rPr>
              <w:t>Experiment history</w:t>
            </w:r>
          </w:p>
        </w:tc>
      </w:tr>
    </w:tbl>
    <w:p>
      <w:pPr>
        <w:pStyle w:val="Heading1"/>
        <w:keepNext/>
        <w:spacing w:before="100" w:after="140"/>
      </w:pPr>
      <w:r>
        <w:rPr>
          <w:rFonts w:ascii="Aptos" w:hAnsi="Aptos"/>
          <w:b/>
          <w:color w:val="000000"/>
          <w:sz w:val="34"/>
        </w:rPr>
        <w:t>Reproduction controls</w:t>
      </w:r>
    </w:p>
    <w:p>
      <w:pPr>
        <w:pStyle w:val="ListBullet"/>
        <w:spacing w:after="60" w:line="254" w:lineRule="auto"/>
      </w:pPr>
      <w:r>
        <w:rPr>
          <w:rFonts w:ascii="Aptos" w:hAnsi="Aptos"/>
          <w:b w:val="0"/>
          <w:color w:val="263238"/>
          <w:sz w:val="20"/>
        </w:rPr>
        <w:t>The raw source file is headerless and parsed through a shared schema.</w:t>
      </w:r>
    </w:p>
    <w:p>
      <w:pPr>
        <w:pStyle w:val="ListBullet"/>
        <w:spacing w:after="60" w:line="254" w:lineRule="auto"/>
      </w:pPr>
      <w:r>
        <w:rPr>
          <w:rFonts w:ascii="Aptos" w:hAnsi="Aptos"/>
          <w:b w:val="0"/>
          <w:color w:val="263238"/>
          <w:sz w:val="20"/>
        </w:rPr>
        <w:t>A fixed random seed controls data splitting, folds, and estimators.</w:t>
      </w:r>
    </w:p>
    <w:p>
      <w:pPr>
        <w:pStyle w:val="ListBullet"/>
        <w:spacing w:after="60" w:line="254" w:lineRule="auto"/>
      </w:pPr>
      <w:r>
        <w:rPr>
          <w:rFonts w:ascii="Aptos" w:hAnsi="Aptos"/>
          <w:b w:val="0"/>
          <w:color w:val="263238"/>
          <w:sz w:val="20"/>
        </w:rPr>
        <w:t>Preprocessing is fitted within cross-validation and serialized with the model.</w:t>
      </w:r>
    </w:p>
    <w:p>
      <w:pPr>
        <w:pStyle w:val="ListBullet"/>
        <w:spacing w:after="60" w:line="254" w:lineRule="auto"/>
      </w:pPr>
      <w:r>
        <w:rPr>
          <w:rFonts w:ascii="Aptos" w:hAnsi="Aptos"/>
          <w:b w:val="0"/>
          <w:color w:val="263238"/>
          <w:sz w:val="20"/>
        </w:rPr>
        <w:t>requirements.txt and the CI workflow define the execution environment.</w:t>
      </w:r>
    </w:p>
    <w:p>
      <w:pPr>
        <w:spacing w:before="0" w:after="120" w:line="269" w:lineRule="auto"/>
      </w:pPr>
      <w:r>
        <w:rPr>
          <w:rFonts w:ascii="Aptos" w:hAnsi="Aptos"/>
          <w:b w:val="0"/>
          <w:color w:val="263238"/>
          <w:sz w:val="21"/>
        </w:rPr>
        <w:t>MLflow organizes runs, records parameters and metrics, and stores output artifacts as documented in the official tracking API reference. The current setup is local; a shared server and object store would be needed for team-wide or cloud tracking.</w:t>
      </w:r>
    </w:p>
    <w:p>
      <w:r>
        <w:br w:type="page"/>
      </w:r>
    </w:p>
    <w:p>
      <w:pPr>
        <w:spacing w:after="100"/>
      </w:pPr>
      <w:r>
        <w:rPr>
          <w:rFonts w:ascii="Aptos" w:hAnsi="Aptos"/>
          <w:b/>
          <w:color w:val="2F6690"/>
          <w:sz w:val="17"/>
        </w:rPr>
        <w:t>06  |  MODEL SERVING</w:t>
      </w:r>
    </w:p>
    <w:p>
      <w:pPr>
        <w:pStyle w:val="Heading1"/>
        <w:keepNext/>
        <w:spacing w:before="100" w:after="140"/>
      </w:pPr>
      <w:r>
        <w:rPr>
          <w:rFonts w:ascii="Aptos" w:hAnsi="Aptos"/>
          <w:b/>
          <w:color w:val="000000"/>
          <w:sz w:val="34"/>
        </w:rPr>
        <w:t>FastAPI request and response contract</w:t>
      </w:r>
    </w:p>
    <w:p>
      <w:pPr>
        <w:spacing w:before="0" w:after="120" w:line="269" w:lineRule="auto"/>
      </w:pPr>
      <w:r>
        <w:rPr>
          <w:rFonts w:ascii="Aptos" w:hAnsi="Aptos"/>
          <w:b w:val="0"/>
          <w:color w:val="263238"/>
          <w:sz w:val="21"/>
        </w:rPr>
        <w:t>The API loads the packaged sklearn pipeline from MODEL_PATH and accepts one JSON object containing the 13 named predictors. Pydantic validates required fields and plausible input ranges before inference. Optional ca and thal values may be null; the trained pipeline handles them. The response returns a 0/1 prediction, a readable class label, and the model's estimated positive-class probability as confidence. This probability has not been calibrated or validated for clinical use.</w:t>
      </w:r>
    </w:p>
    <w:p>
      <w:pPr>
        <w:pStyle w:val="Heading1"/>
        <w:keepNext/>
        <w:spacing w:before="100" w:after="140"/>
      </w:pPr>
      <w:r>
        <w:rPr>
          <w:rFonts w:ascii="Aptos" w:hAnsi="Aptos"/>
          <w:b/>
          <w:color w:val="000000"/>
          <w:sz w:val="34"/>
        </w:rPr>
        <w:t>Example request</w:t>
      </w:r>
    </w:p>
    <w:p>
      <w:pPr>
        <w:spacing w:before="40" w:after="160"/>
        <w:ind w:left="259" w:right="259"/>
      </w:pPr>
      <w:r>
        <w:rPr>
          <w:rFonts w:ascii="Consolas" w:hAnsi="Consolas"/>
          <w:b w:val="0"/>
          <w:color w:val="263238"/>
          <w:sz w:val="18"/>
        </w:rPr>
        <w:t>{</w:t>
        <w:br/>
        <w:t xml:space="preserve">  "age": 63, "sex": 1, "cp": 1, "trestbps": 145,</w:t>
        <w:br/>
        <w:t xml:space="preserve">  "chol": 233, "fbs": 1, "restecg": 2, "thalach": 150,</w:t>
        <w:br/>
        <w:t xml:space="preserve">  "exang": 0, "oldpeak": 2.3, "slope": 3, "ca": 0, "thal": 6</w:t>
        <w:br/>
        <w:t>}</w:t>
      </w:r>
    </w:p>
    <w:p>
      <w:pPr>
        <w:spacing w:before="0" w:after="120" w:line="269" w:lineRule="auto"/>
      </w:pPr>
      <w:r>
        <w:rPr>
          <w:rFonts w:ascii="Aptos" w:hAnsi="Aptos"/>
          <w:b/>
          <w:color w:val="2F6690"/>
          <w:sz w:val="20"/>
        </w:rPr>
        <w:t>POST /predict   |   GET /health   |   GET /metrics</w:t>
      </w:r>
    </w:p>
    <w:tbl>
      <w:tblPr>
        <w:tblStyle w:val="TableGrid"/>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c>
          <w:tcPr>
            <w:tcW w:type="dxa" w:w="1872"/>
            <w:vAlign w:val="center"/>
            <w:shd w:fill="17324D"/>
            <w:tcMar>
              <w:top w:w="100" w:type="dxa"/>
              <w:start w:w="120" w:type="dxa"/>
              <w:bottom w:w="100" w:type="dxa"/>
              <w:end w:w="120" w:type="dxa"/>
            </w:tcMar>
          </w:tcPr>
          <w:p>
            <w:r>
              <w:rPr>
                <w:rFonts w:ascii="Aptos" w:hAnsi="Aptos"/>
                <w:b/>
                <w:color w:val="FFFFFF"/>
                <w:sz w:val="17"/>
              </w:rPr>
              <w:t>Endpoint</w:t>
            </w:r>
          </w:p>
        </w:tc>
        <w:tc>
          <w:tcPr>
            <w:tcW w:type="dxa" w:w="2232"/>
            <w:vAlign w:val="center"/>
            <w:shd w:fill="17324D"/>
            <w:tcMar>
              <w:top w:w="100" w:type="dxa"/>
              <w:start w:w="120" w:type="dxa"/>
              <w:bottom w:w="100" w:type="dxa"/>
              <w:end w:w="120" w:type="dxa"/>
            </w:tcMar>
          </w:tcPr>
          <w:p>
            <w:r>
              <w:rPr>
                <w:rFonts w:ascii="Aptos" w:hAnsi="Aptos"/>
                <w:b/>
                <w:color w:val="FFFFFF"/>
                <w:sz w:val="17"/>
              </w:rPr>
              <w:t>Purpose</w:t>
            </w:r>
          </w:p>
        </w:tc>
        <w:tc>
          <w:tcPr>
            <w:tcW w:type="dxa" w:w="5328"/>
            <w:vAlign w:val="center"/>
            <w:shd w:fill="17324D"/>
            <w:tcMar>
              <w:top w:w="100" w:type="dxa"/>
              <w:start w:w="120" w:type="dxa"/>
              <w:bottom w:w="100" w:type="dxa"/>
              <w:end w:w="120" w:type="dxa"/>
            </w:tcMar>
          </w:tcPr>
          <w:p>
            <w:r>
              <w:rPr>
                <w:rFonts w:ascii="Aptos" w:hAnsi="Aptos"/>
                <w:b/>
                <w:color w:val="FFFFFF"/>
                <w:sz w:val="17"/>
              </w:rPr>
              <w:t>Expected behavior</w:t>
            </w:r>
          </w:p>
        </w:tc>
      </w:tr>
      <w:tr>
        <w:tc>
          <w:tcPr>
            <w:tcW w:type="dxa" w:w="1872"/>
            <w:vAlign w:val="center"/>
            <w:tcMar>
              <w:top w:w="100" w:type="dxa"/>
              <w:start w:w="120" w:type="dxa"/>
              <w:bottom w:w="100" w:type="dxa"/>
              <w:end w:w="120" w:type="dxa"/>
            </w:tcMar>
          </w:tcPr>
          <w:p>
            <w:pPr>
              <w:spacing w:after="0"/>
            </w:pPr>
            <w:r>
              <w:rPr>
                <w:rFonts w:ascii="Aptos" w:hAnsi="Aptos"/>
                <w:b w:val="0"/>
                <w:color w:val="263238"/>
                <w:sz w:val="17"/>
              </w:rPr>
              <w:t>/predict</w:t>
            </w:r>
          </w:p>
        </w:tc>
        <w:tc>
          <w:tcPr>
            <w:tcW w:type="dxa" w:w="2232"/>
            <w:vAlign w:val="center"/>
            <w:tcMar>
              <w:top w:w="100" w:type="dxa"/>
              <w:start w:w="120" w:type="dxa"/>
              <w:bottom w:w="100" w:type="dxa"/>
              <w:end w:w="120" w:type="dxa"/>
            </w:tcMar>
          </w:tcPr>
          <w:p>
            <w:pPr>
              <w:spacing w:after="0"/>
            </w:pPr>
            <w:r>
              <w:rPr>
                <w:rFonts w:ascii="Aptos" w:hAnsi="Aptos"/>
                <w:b w:val="0"/>
                <w:color w:val="263238"/>
                <w:sz w:val="17"/>
              </w:rPr>
              <w:t>One prediction</w:t>
            </w:r>
          </w:p>
        </w:tc>
        <w:tc>
          <w:tcPr>
            <w:tcW w:type="dxa" w:w="5328"/>
            <w:vAlign w:val="center"/>
            <w:tcMar>
              <w:top w:w="100" w:type="dxa"/>
              <w:start w:w="120" w:type="dxa"/>
              <w:bottom w:w="100" w:type="dxa"/>
              <w:end w:w="120" w:type="dxa"/>
            </w:tcMar>
          </w:tcPr>
          <w:p>
            <w:pPr>
              <w:spacing w:after="0"/>
            </w:pPr>
            <w:r>
              <w:rPr>
                <w:rFonts w:ascii="Aptos" w:hAnsi="Aptos"/>
                <w:b w:val="0"/>
                <w:color w:val="263238"/>
                <w:sz w:val="17"/>
              </w:rPr>
              <w:t>200 with prediction, label, confidence, version</w:t>
            </w:r>
          </w:p>
        </w:tc>
      </w:tr>
      <w:tr>
        <w:tc>
          <w:tcPr>
            <w:tcW w:type="dxa" w:w="1872"/>
            <w:vAlign w:val="center"/>
            <w:tcMar>
              <w:top w:w="100" w:type="dxa"/>
              <w:start w:w="120" w:type="dxa"/>
              <w:bottom w:w="100" w:type="dxa"/>
              <w:end w:w="120" w:type="dxa"/>
            </w:tcMar>
            <w:shd w:fill="F3F6F9"/>
          </w:tcPr>
          <w:p>
            <w:pPr>
              <w:spacing w:after="0"/>
            </w:pPr>
            <w:r>
              <w:rPr>
                <w:rFonts w:ascii="Aptos" w:hAnsi="Aptos"/>
                <w:b w:val="0"/>
                <w:color w:val="263238"/>
                <w:sz w:val="17"/>
              </w:rPr>
              <w:t>/health</w:t>
            </w:r>
          </w:p>
        </w:tc>
        <w:tc>
          <w:tcPr>
            <w:tcW w:type="dxa" w:w="2232"/>
            <w:vAlign w:val="center"/>
            <w:tcMar>
              <w:top w:w="100" w:type="dxa"/>
              <w:start w:w="120" w:type="dxa"/>
              <w:bottom w:w="100" w:type="dxa"/>
              <w:end w:w="120" w:type="dxa"/>
            </w:tcMar>
            <w:shd w:fill="F3F6F9"/>
          </w:tcPr>
          <w:p>
            <w:pPr>
              <w:spacing w:after="0"/>
            </w:pPr>
            <w:r>
              <w:rPr>
                <w:rFonts w:ascii="Aptos" w:hAnsi="Aptos"/>
                <w:b w:val="0"/>
                <w:color w:val="263238"/>
                <w:sz w:val="17"/>
              </w:rPr>
              <w:t>Readiness</w:t>
            </w:r>
          </w:p>
        </w:tc>
        <w:tc>
          <w:tcPr>
            <w:tcW w:type="dxa" w:w="5328"/>
            <w:vAlign w:val="center"/>
            <w:tcMar>
              <w:top w:w="100" w:type="dxa"/>
              <w:start w:w="120" w:type="dxa"/>
              <w:bottom w:w="100" w:type="dxa"/>
              <w:end w:w="120" w:type="dxa"/>
            </w:tcMar>
            <w:shd w:fill="F3F6F9"/>
          </w:tcPr>
          <w:p>
            <w:pPr>
              <w:spacing w:after="0"/>
            </w:pPr>
            <w:r>
              <w:rPr>
                <w:rFonts w:ascii="Aptos" w:hAnsi="Aptos"/>
                <w:b w:val="0"/>
                <w:color w:val="263238"/>
                <w:sz w:val="17"/>
              </w:rPr>
              <w:t>Model load state; 503 when artifact unavailable</w:t>
            </w:r>
          </w:p>
        </w:tc>
      </w:tr>
      <w:tr>
        <w:tc>
          <w:tcPr>
            <w:tcW w:type="dxa" w:w="1872"/>
            <w:vAlign w:val="center"/>
            <w:tcMar>
              <w:top w:w="100" w:type="dxa"/>
              <w:start w:w="120" w:type="dxa"/>
              <w:bottom w:w="100" w:type="dxa"/>
              <w:end w:w="120" w:type="dxa"/>
            </w:tcMar>
          </w:tcPr>
          <w:p>
            <w:pPr>
              <w:spacing w:after="0"/>
            </w:pPr>
            <w:r>
              <w:rPr>
                <w:rFonts w:ascii="Aptos" w:hAnsi="Aptos"/>
                <w:b w:val="0"/>
                <w:color w:val="263238"/>
                <w:sz w:val="17"/>
              </w:rPr>
              <w:t>/metrics</w:t>
            </w:r>
          </w:p>
        </w:tc>
        <w:tc>
          <w:tcPr>
            <w:tcW w:type="dxa" w:w="2232"/>
            <w:vAlign w:val="center"/>
            <w:tcMar>
              <w:top w:w="100" w:type="dxa"/>
              <w:start w:w="120" w:type="dxa"/>
              <w:bottom w:w="100" w:type="dxa"/>
              <w:end w:w="120" w:type="dxa"/>
            </w:tcMar>
          </w:tcPr>
          <w:p>
            <w:pPr>
              <w:spacing w:after="0"/>
            </w:pPr>
            <w:r>
              <w:rPr>
                <w:rFonts w:ascii="Aptos" w:hAnsi="Aptos"/>
                <w:b w:val="0"/>
                <w:color w:val="263238"/>
                <w:sz w:val="17"/>
              </w:rPr>
              <w:t>Monitoring</w:t>
            </w:r>
          </w:p>
        </w:tc>
        <w:tc>
          <w:tcPr>
            <w:tcW w:type="dxa" w:w="5328"/>
            <w:vAlign w:val="center"/>
            <w:tcMar>
              <w:top w:w="100" w:type="dxa"/>
              <w:start w:w="120" w:type="dxa"/>
              <w:bottom w:w="100" w:type="dxa"/>
              <w:end w:w="120" w:type="dxa"/>
            </w:tcMar>
          </w:tcPr>
          <w:p>
            <w:pPr>
              <w:spacing w:after="0"/>
            </w:pPr>
            <w:r>
              <w:rPr>
                <w:rFonts w:ascii="Aptos" w:hAnsi="Aptos"/>
                <w:b w:val="0"/>
                <w:color w:val="263238"/>
                <w:sz w:val="17"/>
              </w:rPr>
              <w:t>Prometheus request, latency, and class counters</w:t>
            </w:r>
          </w:p>
        </w:tc>
      </w:tr>
    </w:tbl>
    <w:p>
      <w:pPr>
        <w:pStyle w:val="Heading1"/>
        <w:keepNext/>
        <w:spacing w:before="100" w:after="140"/>
      </w:pPr>
      <w:r>
        <w:rPr>
          <w:rFonts w:ascii="Aptos" w:hAnsi="Aptos"/>
          <w:b/>
          <w:color w:val="000000"/>
          <w:sz w:val="34"/>
        </w:rPr>
        <w:t>Privacy and logging</w:t>
      </w:r>
    </w:p>
    <w:p>
      <w:pPr>
        <w:spacing w:before="0" w:after="120" w:line="269" w:lineRule="auto"/>
      </w:pPr>
      <w:r>
        <w:rPr>
          <w:rFonts w:ascii="Aptos" w:hAnsi="Aptos"/>
          <w:b w:val="0"/>
          <w:color w:val="263238"/>
          <w:sz w:val="21"/>
        </w:rPr>
        <w:t>Request logs capture the method, route, HTTP status, and elapsed time. They omit the request body so patient-feature values are not written to application logs. This reduces one operational exposure but does not replace access control, transport security, retention rules, or a privacy review for real health data.</w:t>
      </w:r>
    </w:p>
    <w:p>
      <w:pPr>
        <w:spacing w:before="0" w:after="120" w:line="269" w:lineRule="auto"/>
      </w:pPr>
      <w:r>
        <w:rPr>
          <w:rFonts w:ascii="Aptos" w:hAnsi="Aptos"/>
          <w:b w:val="0"/>
          <w:color w:val="53616F"/>
          <w:sz w:val="19"/>
        </w:rPr>
        <w:t>The local Python process and Docker Compose smoke checks returned /health status ok and valid /predict responses for samples/predict.json. The Docker container also returned HTTP 200 from /metrics. Kubernetes health, prediction, and metrics endpoints were verified separately through kubectl port-forward.</w:t>
      </w:r>
    </w:p>
    <w:p>
      <w:r>
        <w:br w:type="page"/>
      </w:r>
    </w:p>
    <w:p>
      <w:pPr>
        <w:spacing w:after="100"/>
      </w:pPr>
      <w:r>
        <w:rPr>
          <w:rFonts w:ascii="Aptos" w:hAnsi="Aptos"/>
          <w:b/>
          <w:color w:val="2F6690"/>
          <w:sz w:val="17"/>
        </w:rPr>
        <w:t>07  |  CI AND QUALITY</w:t>
      </w:r>
    </w:p>
    <w:p>
      <w:pPr>
        <w:pStyle w:val="Heading1"/>
        <w:keepNext/>
        <w:spacing w:before="100" w:after="140"/>
      </w:pPr>
      <w:r>
        <w:rPr>
          <w:rFonts w:ascii="Aptos" w:hAnsi="Aptos"/>
          <w:b/>
          <w:color w:val="000000"/>
          <w:sz w:val="34"/>
        </w:rPr>
        <w:t>Automated checks and local verification</w:t>
      </w:r>
    </w:p>
    <w:p>
      <w:pPr>
        <w:spacing w:before="0" w:after="120" w:line="269" w:lineRule="auto"/>
      </w:pPr>
      <w:r>
        <w:rPr>
          <w:rFonts w:ascii="Aptos" w:hAnsi="Aptos"/>
          <w:b w:val="0"/>
          <w:color w:val="263238"/>
          <w:sz w:val="21"/>
        </w:rPr>
        <w:t>The GitHub Actions workflow installs the requirements file, runs Ruff linting, executes pytest, trains the models in a smaller CI search mode, and uploads the model, metrics, plots, and local MLflow store as a workflow artifact. Each command is a required step, so a lint, test, or training failure marks the run as failed.</w:t>
      </w:r>
    </w:p>
    <w:tbl>
      <w:tblPr>
        <w:tblStyle w:val="TableGrid"/>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c>
          <w:tcPr>
            <w:tcW w:type="dxa" w:w="2160"/>
            <w:vAlign w:val="center"/>
            <w:shd w:fill="17324D"/>
            <w:tcMar>
              <w:top w:w="100" w:type="dxa"/>
              <w:start w:w="120" w:type="dxa"/>
              <w:bottom w:w="100" w:type="dxa"/>
              <w:end w:w="120" w:type="dxa"/>
            </w:tcMar>
          </w:tcPr>
          <w:p>
            <w:r>
              <w:rPr>
                <w:rFonts w:ascii="Aptos" w:hAnsi="Aptos"/>
                <w:b/>
                <w:color w:val="FFFFFF"/>
                <w:sz w:val="17"/>
              </w:rPr>
              <w:t>Check</w:t>
            </w:r>
          </w:p>
        </w:tc>
        <w:tc>
          <w:tcPr>
            <w:tcW w:type="dxa" w:w="4464"/>
            <w:vAlign w:val="center"/>
            <w:shd w:fill="17324D"/>
            <w:tcMar>
              <w:top w:w="100" w:type="dxa"/>
              <w:start w:w="120" w:type="dxa"/>
              <w:bottom w:w="100" w:type="dxa"/>
              <w:end w:w="120" w:type="dxa"/>
            </w:tcMar>
          </w:tcPr>
          <w:p>
            <w:r>
              <w:rPr>
                <w:rFonts w:ascii="Aptos" w:hAnsi="Aptos"/>
                <w:b/>
                <w:color w:val="FFFFFF"/>
                <w:sz w:val="17"/>
              </w:rPr>
              <w:t>Coverage</w:t>
            </w:r>
          </w:p>
        </w:tc>
        <w:tc>
          <w:tcPr>
            <w:tcW w:type="dxa" w:w="2808"/>
            <w:vAlign w:val="center"/>
            <w:shd w:fill="17324D"/>
            <w:tcMar>
              <w:top w:w="100" w:type="dxa"/>
              <w:start w:w="120" w:type="dxa"/>
              <w:bottom w:w="100" w:type="dxa"/>
              <w:end w:w="120" w:type="dxa"/>
            </w:tcMar>
          </w:tcPr>
          <w:p>
            <w:r>
              <w:rPr>
                <w:rFonts w:ascii="Aptos" w:hAnsi="Aptos"/>
                <w:b/>
                <w:color w:val="FFFFFF"/>
                <w:sz w:val="17"/>
              </w:rPr>
              <w:t>Local status</w:t>
            </w:r>
          </w:p>
        </w:tc>
      </w:tr>
      <w:tr>
        <w:tc>
          <w:tcPr>
            <w:tcW w:type="dxa" w:w="2160"/>
            <w:vAlign w:val="center"/>
            <w:tcMar>
              <w:top w:w="100" w:type="dxa"/>
              <w:start w:w="120" w:type="dxa"/>
              <w:bottom w:w="100" w:type="dxa"/>
              <w:end w:w="120" w:type="dxa"/>
            </w:tcMar>
          </w:tcPr>
          <w:p>
            <w:pPr>
              <w:spacing w:after="0"/>
            </w:pPr>
            <w:r>
              <w:rPr>
                <w:rFonts w:ascii="Aptos" w:hAnsi="Aptos"/>
                <w:b w:val="0"/>
                <w:color w:val="263238"/>
                <w:sz w:val="17"/>
              </w:rPr>
              <w:t>Ruff</w:t>
            </w:r>
          </w:p>
        </w:tc>
        <w:tc>
          <w:tcPr>
            <w:tcW w:type="dxa" w:w="4464"/>
            <w:vAlign w:val="center"/>
            <w:tcMar>
              <w:top w:w="100" w:type="dxa"/>
              <w:start w:w="120" w:type="dxa"/>
              <w:bottom w:w="100" w:type="dxa"/>
              <w:end w:w="120" w:type="dxa"/>
            </w:tcMar>
          </w:tcPr>
          <w:p>
            <w:pPr>
              <w:spacing w:after="0"/>
            </w:pPr>
            <w:r>
              <w:rPr>
                <w:rFonts w:ascii="Aptos" w:hAnsi="Aptos"/>
                <w:b w:val="0"/>
                <w:color w:val="263238"/>
                <w:sz w:val="17"/>
              </w:rPr>
              <w:t>Imports, style, common correctness errors</w:t>
            </w:r>
          </w:p>
        </w:tc>
        <w:tc>
          <w:tcPr>
            <w:tcW w:type="dxa" w:w="2808"/>
            <w:vAlign w:val="center"/>
            <w:tcMar>
              <w:top w:w="100" w:type="dxa"/>
              <w:start w:w="120" w:type="dxa"/>
              <w:bottom w:w="100" w:type="dxa"/>
              <w:end w:w="120" w:type="dxa"/>
            </w:tcMar>
          </w:tcPr>
          <w:p>
            <w:pPr>
              <w:spacing w:after="0"/>
            </w:pPr>
            <w:r>
              <w:rPr>
                <w:rFonts w:ascii="Aptos" w:hAnsi="Aptos"/>
                <w:b w:val="0"/>
                <w:color w:val="263238"/>
                <w:sz w:val="17"/>
              </w:rPr>
              <w:t>Passed (ruff check src app scripts tests)</w:t>
            </w:r>
          </w:p>
        </w:tc>
      </w:tr>
      <w:tr>
        <w:tc>
          <w:tcPr>
            <w:tcW w:type="dxa" w:w="2160"/>
            <w:vAlign w:val="center"/>
            <w:tcMar>
              <w:top w:w="100" w:type="dxa"/>
              <w:start w:w="120" w:type="dxa"/>
              <w:bottom w:w="100" w:type="dxa"/>
              <w:end w:w="120" w:type="dxa"/>
            </w:tcMar>
            <w:shd w:fill="F3F6F9"/>
          </w:tcPr>
          <w:p>
            <w:pPr>
              <w:spacing w:after="0"/>
            </w:pPr>
            <w:r>
              <w:rPr>
                <w:rFonts w:ascii="Aptos" w:hAnsi="Aptos"/>
                <w:b w:val="0"/>
                <w:color w:val="263238"/>
                <w:sz w:val="17"/>
              </w:rPr>
              <w:t>Pytest</w:t>
            </w:r>
          </w:p>
        </w:tc>
        <w:tc>
          <w:tcPr>
            <w:tcW w:type="dxa" w:w="4464"/>
            <w:vAlign w:val="center"/>
            <w:tcMar>
              <w:top w:w="100" w:type="dxa"/>
              <w:start w:w="120" w:type="dxa"/>
              <w:bottom w:w="100" w:type="dxa"/>
              <w:end w:w="120" w:type="dxa"/>
            </w:tcMar>
            <w:shd w:fill="F3F6F9"/>
          </w:tcPr>
          <w:p>
            <w:pPr>
              <w:spacing w:after="0"/>
            </w:pPr>
            <w:r>
              <w:rPr>
                <w:rFonts w:ascii="Aptos" w:hAnsi="Aptos"/>
                <w:b w:val="0"/>
                <w:color w:val="263238"/>
                <w:sz w:val="17"/>
              </w:rPr>
              <w:t>Data contract, recoding, pipeline, API schema</w:t>
            </w:r>
          </w:p>
        </w:tc>
        <w:tc>
          <w:tcPr>
            <w:tcW w:type="dxa" w:w="2808"/>
            <w:vAlign w:val="center"/>
            <w:tcMar>
              <w:top w:w="100" w:type="dxa"/>
              <w:start w:w="120" w:type="dxa"/>
              <w:bottom w:w="100" w:type="dxa"/>
              <w:end w:w="120" w:type="dxa"/>
            </w:tcMar>
            <w:shd w:fill="F3F6F9"/>
          </w:tcPr>
          <w:p>
            <w:pPr>
              <w:spacing w:after="0"/>
            </w:pPr>
            <w:r>
              <w:rPr>
                <w:rFonts w:ascii="Aptos" w:hAnsi="Aptos"/>
                <w:b w:val="0"/>
                <w:color w:val="263238"/>
                <w:sz w:val="17"/>
              </w:rPr>
              <w:t>Passed (7 tests)</w:t>
            </w:r>
          </w:p>
        </w:tc>
      </w:tr>
      <w:tr>
        <w:tc>
          <w:tcPr>
            <w:tcW w:type="dxa" w:w="2160"/>
            <w:vAlign w:val="center"/>
            <w:tcMar>
              <w:top w:w="100" w:type="dxa"/>
              <w:start w:w="120" w:type="dxa"/>
              <w:bottom w:w="100" w:type="dxa"/>
              <w:end w:w="120" w:type="dxa"/>
            </w:tcMar>
          </w:tcPr>
          <w:p>
            <w:pPr>
              <w:spacing w:after="0"/>
            </w:pPr>
            <w:r>
              <w:rPr>
                <w:rFonts w:ascii="Aptos" w:hAnsi="Aptos"/>
                <w:b w:val="0"/>
                <w:color w:val="263238"/>
                <w:sz w:val="17"/>
              </w:rPr>
              <w:t>Training smoke run</w:t>
            </w:r>
          </w:p>
        </w:tc>
        <w:tc>
          <w:tcPr>
            <w:tcW w:type="dxa" w:w="4464"/>
            <w:vAlign w:val="center"/>
            <w:tcMar>
              <w:top w:w="100" w:type="dxa"/>
              <w:start w:w="120" w:type="dxa"/>
              <w:bottom w:w="100" w:type="dxa"/>
              <w:end w:w="120" w:type="dxa"/>
            </w:tcMar>
          </w:tcPr>
          <w:p>
            <w:pPr>
              <w:spacing w:after="0"/>
            </w:pPr>
            <w:r>
              <w:rPr>
                <w:rFonts w:ascii="Aptos" w:hAnsi="Aptos"/>
                <w:b w:val="0"/>
                <w:color w:val="263238"/>
                <w:sz w:val="17"/>
              </w:rPr>
              <w:t>Search, metrics, plots, serialized model</w:t>
            </w:r>
          </w:p>
        </w:tc>
        <w:tc>
          <w:tcPr>
            <w:tcW w:type="dxa" w:w="2808"/>
            <w:vAlign w:val="center"/>
            <w:tcMar>
              <w:top w:w="100" w:type="dxa"/>
              <w:start w:w="120" w:type="dxa"/>
              <w:bottom w:w="100" w:type="dxa"/>
              <w:end w:w="120" w:type="dxa"/>
            </w:tcMar>
          </w:tcPr>
          <w:p>
            <w:pPr>
              <w:spacing w:after="0"/>
            </w:pPr>
            <w:r>
              <w:rPr>
                <w:rFonts w:ascii="Aptos" w:hAnsi="Aptos"/>
                <w:b w:val="0"/>
                <w:color w:val="263238"/>
                <w:sz w:val="17"/>
              </w:rPr>
              <w:t>Passed (full 5-fold comparison; Logistic Regression selected)</w:t>
            </w:r>
          </w:p>
        </w:tc>
      </w:tr>
      <w:tr>
        <w:tc>
          <w:tcPr>
            <w:tcW w:type="dxa" w:w="2160"/>
            <w:vAlign w:val="center"/>
            <w:tcMar>
              <w:top w:w="100" w:type="dxa"/>
              <w:start w:w="120" w:type="dxa"/>
              <w:bottom w:w="100" w:type="dxa"/>
              <w:end w:w="120" w:type="dxa"/>
            </w:tcMar>
            <w:shd w:fill="F3F6F9"/>
          </w:tcPr>
          <w:p>
            <w:pPr>
              <w:spacing w:after="0"/>
            </w:pPr>
            <w:r>
              <w:rPr>
                <w:rFonts w:ascii="Aptos" w:hAnsi="Aptos"/>
                <w:b w:val="0"/>
                <w:color w:val="263238"/>
                <w:sz w:val="17"/>
              </w:rPr>
              <w:t>Workflow artifact</w:t>
            </w:r>
          </w:p>
        </w:tc>
        <w:tc>
          <w:tcPr>
            <w:tcW w:type="dxa" w:w="4464"/>
            <w:vAlign w:val="center"/>
            <w:tcMar>
              <w:top w:w="100" w:type="dxa"/>
              <w:start w:w="120" w:type="dxa"/>
              <w:bottom w:w="100" w:type="dxa"/>
              <w:end w:w="120" w:type="dxa"/>
            </w:tcMar>
            <w:shd w:fill="F3F6F9"/>
          </w:tcPr>
          <w:p>
            <w:pPr>
              <w:spacing w:after="0"/>
            </w:pPr>
            <w:r>
              <w:rPr>
                <w:rFonts w:ascii="Aptos" w:hAnsi="Aptos"/>
                <w:b w:val="0"/>
                <w:color w:val="263238"/>
                <w:sz w:val="17"/>
              </w:rPr>
              <w:t>Retain training outputs per CI run</w:t>
            </w:r>
          </w:p>
        </w:tc>
        <w:tc>
          <w:tcPr>
            <w:tcW w:type="dxa" w:w="2808"/>
            <w:vAlign w:val="center"/>
            <w:tcMar>
              <w:top w:w="100" w:type="dxa"/>
              <w:start w:w="120" w:type="dxa"/>
              <w:bottom w:w="100" w:type="dxa"/>
              <w:end w:w="120" w:type="dxa"/>
            </w:tcMar>
            <w:shd w:fill="F3F6F9"/>
          </w:tcPr>
          <w:p>
            <w:pPr>
              <w:spacing w:after="0"/>
            </w:pPr>
            <w:r>
              <w:rPr>
                <w:rFonts w:ascii="Aptos" w:hAnsi="Aptos"/>
                <w:b w:val="0"/>
                <w:color w:val="263238"/>
                <w:sz w:val="17"/>
              </w:rPr>
              <w:t>Passed (recorded GitHub Actions run #4 on commit e808c1d; workflow concluded successfully)</w:t>
            </w:r>
          </w:p>
        </w:tc>
      </w:tr>
    </w:tbl>
    <w:p>
      <w:pPr>
        <w:pStyle w:val="Heading1"/>
        <w:keepNext/>
        <w:spacing w:before="100" w:after="140"/>
      </w:pPr>
      <w:r>
        <w:rPr>
          <w:rFonts w:ascii="Aptos" w:hAnsi="Aptos"/>
          <w:b/>
          <w:color w:val="000000"/>
          <w:sz w:val="34"/>
        </w:rPr>
        <w:t>Reproduction commands</w:t>
      </w:r>
    </w:p>
    <w:p>
      <w:pPr>
        <w:spacing w:after="60"/>
        <w:ind w:left="216"/>
      </w:pPr>
      <w:r>
        <w:rPr>
          <w:rFonts w:ascii="Consolas" w:hAnsi="Consolas"/>
          <w:b w:val="0"/>
          <w:color w:val="263238"/>
          <w:sz w:val="18"/>
        </w:rPr>
        <w:t>ruff check src app scripts tests</w:t>
      </w:r>
    </w:p>
    <w:p>
      <w:pPr>
        <w:spacing w:after="60"/>
        <w:ind w:left="216"/>
      </w:pPr>
      <w:r>
        <w:rPr>
          <w:rFonts w:ascii="Consolas" w:hAnsi="Consolas"/>
          <w:b w:val="0"/>
          <w:color w:val="263238"/>
          <w:sz w:val="18"/>
        </w:rPr>
        <w:t>pytest</w:t>
      </w:r>
    </w:p>
    <w:p>
      <w:pPr>
        <w:spacing w:after="60"/>
        <w:ind w:left="216"/>
      </w:pPr>
      <w:r>
        <w:rPr>
          <w:rFonts w:ascii="Consolas" w:hAnsi="Consolas"/>
          <w:b w:val="0"/>
          <w:color w:val="263238"/>
          <w:sz w:val="18"/>
        </w:rPr>
        <w:t>python scripts/train.py --fast</w:t>
      </w:r>
    </w:p>
    <w:p>
      <w:pPr>
        <w:spacing w:before="0" w:after="120" w:line="269" w:lineRule="auto"/>
      </w:pPr>
      <w:r>
        <w:rPr>
          <w:rFonts w:ascii="Aptos" w:hAnsi="Aptos"/>
          <w:b w:val="0"/>
          <w:color w:val="263238"/>
          <w:sz w:val="21"/>
        </w:rPr>
        <w:t>Current GitHub Actions status: Passed (recorded GitHub Actions run #4 on commit e808c1d; workflow concluded successfully). The recorded passing workflow run is documented in docs/screenshots/github-actions-ci-passed.png.</w:t>
      </w:r>
    </w:p>
    <w:p>
      <w:r>
        <w:br w:type="page"/>
      </w:r>
    </w:p>
    <w:p>
      <w:pPr>
        <w:spacing w:after="100"/>
      </w:pPr>
      <w:r>
        <w:rPr>
          <w:rFonts w:ascii="Aptos" w:hAnsi="Aptos"/>
          <w:b/>
          <w:color w:val="2F6690"/>
          <w:sz w:val="17"/>
        </w:rPr>
        <w:t>08  |  DEPLOYMENT AND OPERATIONS</w:t>
      </w:r>
    </w:p>
    <w:p>
      <w:pPr>
        <w:pStyle w:val="Heading1"/>
        <w:keepNext/>
        <w:spacing w:before="100" w:after="140"/>
      </w:pPr>
      <w:r>
        <w:rPr>
          <w:rFonts w:ascii="Aptos" w:hAnsi="Aptos"/>
          <w:b/>
          <w:color w:val="000000"/>
          <w:sz w:val="34"/>
        </w:rPr>
        <w:t>Container, Kubernetes, and monitoring</w:t>
      </w:r>
    </w:p>
    <w:p>
      <w:pPr>
        <w:spacing w:before="0" w:after="120" w:line="269" w:lineRule="auto"/>
      </w:pPr>
      <w:r>
        <w:rPr>
          <w:rFonts w:ascii="Aptos" w:hAnsi="Aptos"/>
          <w:b w:val="0"/>
          <w:color w:val="263238"/>
          <w:sz w:val="21"/>
        </w:rPr>
        <w:t>The Docker image packages the API and serialized model. Docker Compose starts the API with Prometheus and Grafana; the API exports request totals, latency histograms, and prediction counts. A provisioned dashboard shows request rate, p95 latency, class counts, and 5xx ratio. The Kubernetes Deployment specifies two replicas, readiness and liveness probes, resource bounds, and scrape annotations; a LoadBalancer Service exposes port 80.</w:t>
      </w:r>
    </w:p>
    <w:tbl>
      <w:tblPr>
        <w:tblStyle w:val="TableGrid"/>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c>
          <w:tcPr>
            <w:tcW w:type="dxa" w:w="1944"/>
            <w:vAlign w:val="center"/>
            <w:shd w:fill="17324D"/>
            <w:tcMar>
              <w:top w:w="100" w:type="dxa"/>
              <w:start w:w="120" w:type="dxa"/>
              <w:bottom w:w="100" w:type="dxa"/>
              <w:end w:w="120" w:type="dxa"/>
            </w:tcMar>
          </w:tcPr>
          <w:p>
            <w:r>
              <w:rPr>
                <w:rFonts w:ascii="Aptos" w:hAnsi="Aptos"/>
                <w:b/>
                <w:color w:val="FFFFFF"/>
                <w:sz w:val="16"/>
              </w:rPr>
              <w:t>Evidence item</w:t>
            </w:r>
          </w:p>
        </w:tc>
        <w:tc>
          <w:tcPr>
            <w:tcW w:type="dxa" w:w="3888"/>
            <w:vAlign w:val="center"/>
            <w:shd w:fill="17324D"/>
            <w:tcMar>
              <w:top w:w="100" w:type="dxa"/>
              <w:start w:w="120" w:type="dxa"/>
              <w:bottom w:w="100" w:type="dxa"/>
              <w:end w:w="120" w:type="dxa"/>
            </w:tcMar>
          </w:tcPr>
          <w:p>
            <w:r>
              <w:rPr>
                <w:rFonts w:ascii="Aptos" w:hAnsi="Aptos"/>
                <w:b/>
                <w:color w:val="FFFFFF"/>
                <w:sz w:val="16"/>
              </w:rPr>
              <w:t>What is prepared</w:t>
            </w:r>
          </w:p>
        </w:tc>
        <w:tc>
          <w:tcPr>
            <w:tcW w:type="dxa" w:w="3600"/>
            <w:vAlign w:val="center"/>
            <w:shd w:fill="17324D"/>
            <w:tcMar>
              <w:top w:w="100" w:type="dxa"/>
              <w:start w:w="120" w:type="dxa"/>
              <w:bottom w:w="100" w:type="dxa"/>
              <w:end w:w="120" w:type="dxa"/>
            </w:tcMar>
          </w:tcPr>
          <w:p>
            <w:r>
              <w:rPr>
                <w:rFonts w:ascii="Aptos" w:hAnsi="Aptos"/>
                <w:b/>
                <w:color w:val="FFFFFF"/>
                <w:sz w:val="16"/>
              </w:rPr>
              <w:t>What remains</w:t>
            </w:r>
          </w:p>
        </w:tc>
      </w:tr>
      <w:tr>
        <w:tc>
          <w:tcPr>
            <w:tcW w:type="dxa" w:w="1944"/>
            <w:vAlign w:val="center"/>
            <w:tcMar>
              <w:top w:w="100" w:type="dxa"/>
              <w:start w:w="120" w:type="dxa"/>
              <w:bottom w:w="100" w:type="dxa"/>
              <w:end w:w="120" w:type="dxa"/>
            </w:tcMar>
          </w:tcPr>
          <w:p>
            <w:pPr>
              <w:spacing w:after="0"/>
            </w:pPr>
            <w:r>
              <w:rPr>
                <w:rFonts w:ascii="Aptos" w:hAnsi="Aptos"/>
                <w:b w:val="0"/>
                <w:color w:val="263238"/>
                <w:sz w:val="16"/>
              </w:rPr>
              <w:t>API container</w:t>
            </w:r>
          </w:p>
        </w:tc>
        <w:tc>
          <w:tcPr>
            <w:tcW w:type="dxa" w:w="3888"/>
            <w:vAlign w:val="center"/>
            <w:tcMar>
              <w:top w:w="100" w:type="dxa"/>
              <w:start w:w="120" w:type="dxa"/>
              <w:bottom w:w="100" w:type="dxa"/>
              <w:end w:w="120" w:type="dxa"/>
            </w:tcMar>
          </w:tcPr>
          <w:p>
            <w:pPr>
              <w:spacing w:after="0"/>
            </w:pPr>
            <w:r>
              <w:rPr>
                <w:rFonts w:ascii="Aptos" w:hAnsi="Aptos"/>
                <w:b w:val="0"/>
                <w:color w:val="263238"/>
                <w:sz w:val="16"/>
              </w:rPr>
              <w:t>Dockerfile; health, prediction, and metrics requests</w:t>
            </w:r>
          </w:p>
        </w:tc>
        <w:tc>
          <w:tcPr>
            <w:tcW w:type="dxa" w:w="3600"/>
            <w:vAlign w:val="center"/>
            <w:tcMar>
              <w:top w:w="100" w:type="dxa"/>
              <w:start w:w="120" w:type="dxa"/>
              <w:bottom w:w="100" w:type="dxa"/>
              <w:end w:w="120" w:type="dxa"/>
            </w:tcMar>
          </w:tcPr>
          <w:p>
            <w:pPr>
              <w:spacing w:after="0"/>
            </w:pPr>
            <w:r>
              <w:rPr>
                <w:rFonts w:ascii="Aptos" w:hAnsi="Aptos"/>
                <w:b w:val="0"/>
                <w:color w:val="263238"/>
                <w:sz w:val="16"/>
              </w:rPr>
              <w:t>Passed locally</w:t>
            </w:r>
          </w:p>
        </w:tc>
      </w:tr>
      <w:tr>
        <w:tc>
          <w:tcPr>
            <w:tcW w:type="dxa" w:w="1944"/>
            <w:vAlign w:val="center"/>
            <w:tcMar>
              <w:top w:w="100" w:type="dxa"/>
              <w:start w:w="120" w:type="dxa"/>
              <w:bottom w:w="100" w:type="dxa"/>
              <w:end w:w="120" w:type="dxa"/>
            </w:tcMar>
            <w:shd w:fill="F3F6F9"/>
          </w:tcPr>
          <w:p>
            <w:pPr>
              <w:spacing w:after="0"/>
            </w:pPr>
            <w:r>
              <w:rPr>
                <w:rFonts w:ascii="Aptos" w:hAnsi="Aptos"/>
                <w:b w:val="0"/>
                <w:color w:val="263238"/>
                <w:sz w:val="16"/>
              </w:rPr>
              <w:t>Observability</w:t>
            </w:r>
          </w:p>
        </w:tc>
        <w:tc>
          <w:tcPr>
            <w:tcW w:type="dxa" w:w="3888"/>
            <w:vAlign w:val="center"/>
            <w:tcMar>
              <w:top w:w="100" w:type="dxa"/>
              <w:start w:w="120" w:type="dxa"/>
              <w:bottom w:w="100" w:type="dxa"/>
              <w:end w:w="120" w:type="dxa"/>
            </w:tcMar>
            <w:shd w:fill="F3F6F9"/>
          </w:tcPr>
          <w:p>
            <w:pPr>
              <w:spacing w:after="0"/>
            </w:pPr>
            <w:r>
              <w:rPr>
                <w:rFonts w:ascii="Aptos" w:hAnsi="Aptos"/>
                <w:b w:val="0"/>
                <w:color w:val="263238"/>
                <w:sz w:val="16"/>
              </w:rPr>
              <w:t>Prometheus target UP; Grafana dashboard</w:t>
            </w:r>
          </w:p>
        </w:tc>
        <w:tc>
          <w:tcPr>
            <w:tcW w:type="dxa" w:w="3600"/>
            <w:vAlign w:val="center"/>
            <w:tcMar>
              <w:top w:w="100" w:type="dxa"/>
              <w:start w:w="120" w:type="dxa"/>
              <w:bottom w:w="100" w:type="dxa"/>
              <w:end w:w="120" w:type="dxa"/>
            </w:tcMar>
            <w:shd w:fill="F3F6F9"/>
          </w:tcPr>
          <w:p>
            <w:pPr>
              <w:spacing w:after="0"/>
            </w:pPr>
            <w:r>
              <w:rPr>
                <w:rFonts w:ascii="Aptos" w:hAnsi="Aptos"/>
                <w:b w:val="0"/>
                <w:color w:val="263238"/>
                <w:sz w:val="16"/>
              </w:rPr>
              <w:t>Passed locally</w:t>
            </w:r>
          </w:p>
        </w:tc>
      </w:tr>
      <w:tr>
        <w:tc>
          <w:tcPr>
            <w:tcW w:type="dxa" w:w="1944"/>
            <w:vAlign w:val="center"/>
            <w:tcMar>
              <w:top w:w="100" w:type="dxa"/>
              <w:start w:w="120" w:type="dxa"/>
              <w:bottom w:w="100" w:type="dxa"/>
              <w:end w:w="120" w:type="dxa"/>
            </w:tcMar>
          </w:tcPr>
          <w:p>
            <w:pPr>
              <w:spacing w:after="0"/>
            </w:pPr>
            <w:r>
              <w:rPr>
                <w:rFonts w:ascii="Aptos" w:hAnsi="Aptos"/>
                <w:b w:val="0"/>
                <w:color w:val="263238"/>
                <w:sz w:val="16"/>
              </w:rPr>
              <w:t>Kubernetes</w:t>
            </w:r>
          </w:p>
        </w:tc>
        <w:tc>
          <w:tcPr>
            <w:tcW w:type="dxa" w:w="3888"/>
            <w:vAlign w:val="center"/>
            <w:tcMar>
              <w:top w:w="100" w:type="dxa"/>
              <w:start w:w="120" w:type="dxa"/>
              <w:bottom w:w="100" w:type="dxa"/>
              <w:end w:w="120" w:type="dxa"/>
            </w:tcMar>
          </w:tcPr>
          <w:p>
            <w:pPr>
              <w:spacing w:after="0"/>
            </w:pPr>
            <w:r>
              <w:rPr>
                <w:rFonts w:ascii="Aptos" w:hAnsi="Aptos"/>
                <w:b w:val="0"/>
                <w:color w:val="263238"/>
                <w:sz w:val="16"/>
              </w:rPr>
              <w:t>Two ready replicas; endpoints via port-forward</w:t>
            </w:r>
          </w:p>
        </w:tc>
        <w:tc>
          <w:tcPr>
            <w:tcW w:type="dxa" w:w="3600"/>
            <w:vAlign w:val="center"/>
            <w:tcMar>
              <w:top w:w="100" w:type="dxa"/>
              <w:start w:w="120" w:type="dxa"/>
              <w:bottom w:w="100" w:type="dxa"/>
              <w:end w:w="120" w:type="dxa"/>
            </w:tcMar>
          </w:tcPr>
          <w:p>
            <w:pPr>
              <w:spacing w:after="0"/>
            </w:pPr>
            <w:r>
              <w:rPr>
                <w:rFonts w:ascii="Aptos" w:hAnsi="Aptos"/>
                <w:b w:val="0"/>
                <w:color w:val="263238"/>
                <w:sz w:val="16"/>
              </w:rPr>
              <w:t>Passed locally</w:t>
            </w:r>
          </w:p>
        </w:tc>
      </w:tr>
      <w:tr>
        <w:tc>
          <w:tcPr>
            <w:tcW w:type="dxa" w:w="1944"/>
            <w:vAlign w:val="center"/>
            <w:tcMar>
              <w:top w:w="100" w:type="dxa"/>
              <w:start w:w="120" w:type="dxa"/>
              <w:bottom w:w="100" w:type="dxa"/>
              <w:end w:w="120" w:type="dxa"/>
            </w:tcMar>
            <w:shd w:fill="F3F6F9"/>
          </w:tcPr>
          <w:p>
            <w:pPr>
              <w:spacing w:after="0"/>
            </w:pPr>
            <w:r>
              <w:rPr>
                <w:rFonts w:ascii="Aptos" w:hAnsi="Aptos"/>
                <w:b w:val="0"/>
                <w:color w:val="263238"/>
                <w:sz w:val="16"/>
              </w:rPr>
              <w:t>Public deployment</w:t>
            </w:r>
          </w:p>
        </w:tc>
        <w:tc>
          <w:tcPr>
            <w:tcW w:type="dxa" w:w="3888"/>
            <w:vAlign w:val="center"/>
            <w:tcMar>
              <w:top w:w="100" w:type="dxa"/>
              <w:start w:w="120" w:type="dxa"/>
              <w:bottom w:w="100" w:type="dxa"/>
              <w:end w:w="120" w:type="dxa"/>
            </w:tcMar>
            <w:shd w:fill="F3F6F9"/>
          </w:tcPr>
          <w:p>
            <w:pPr>
              <w:spacing w:after="0"/>
            </w:pPr>
            <w:r>
              <w:rPr>
                <w:rFonts w:ascii="Aptos" w:hAnsi="Aptos"/>
                <w:b w:val="0"/>
                <w:color w:val="263238"/>
                <w:sz w:val="16"/>
              </w:rPr>
              <w:t>No cloud-specific resource is assumed</w:t>
            </w:r>
          </w:p>
        </w:tc>
        <w:tc>
          <w:tcPr>
            <w:tcW w:type="dxa" w:w="3600"/>
            <w:vAlign w:val="center"/>
            <w:tcMar>
              <w:top w:w="100" w:type="dxa"/>
              <w:start w:w="120" w:type="dxa"/>
              <w:bottom w:w="100" w:type="dxa"/>
              <w:end w:w="120" w:type="dxa"/>
            </w:tcMar>
            <w:shd w:fill="F3F6F9"/>
          </w:tcPr>
          <w:p>
            <w:pPr>
              <w:spacing w:after="0"/>
            </w:pPr>
            <w:r>
              <w:rPr>
                <w:rFonts w:ascii="Aptos" w:hAnsi="Aptos"/>
                <w:b w:val="0"/>
                <w:color w:val="263238"/>
                <w:sz w:val="16"/>
              </w:rPr>
              <w:t>Not performed; no public URL</w:t>
            </w:r>
          </w:p>
        </w:tc>
      </w:tr>
      <w:tr>
        <w:tc>
          <w:tcPr>
            <w:tcW w:type="dxa" w:w="1944"/>
            <w:vAlign w:val="center"/>
            <w:tcMar>
              <w:top w:w="100" w:type="dxa"/>
              <w:start w:w="120" w:type="dxa"/>
              <w:bottom w:w="100" w:type="dxa"/>
              <w:end w:w="120" w:type="dxa"/>
            </w:tcMar>
          </w:tcPr>
          <w:p>
            <w:pPr>
              <w:spacing w:after="0"/>
            </w:pPr>
            <w:r>
              <w:rPr>
                <w:rFonts w:ascii="Aptos" w:hAnsi="Aptos"/>
                <w:b w:val="0"/>
                <w:color w:val="263238"/>
                <w:sz w:val="16"/>
              </w:rPr>
              <w:t>Video and screenshots</w:t>
            </w:r>
          </w:p>
        </w:tc>
        <w:tc>
          <w:tcPr>
            <w:tcW w:type="dxa" w:w="3888"/>
            <w:vAlign w:val="center"/>
            <w:tcMar>
              <w:top w:w="100" w:type="dxa"/>
              <w:start w:w="120" w:type="dxa"/>
              <w:bottom w:w="100" w:type="dxa"/>
              <w:end w:w="120" w:type="dxa"/>
            </w:tcMar>
          </w:tcPr>
          <w:p>
            <w:pPr>
              <w:spacing w:after="0"/>
            </w:pPr>
            <w:r>
              <w:rPr>
                <w:rFonts w:ascii="Aptos" w:hAnsi="Aptos"/>
                <w:b w:val="0"/>
                <w:color w:val="263238"/>
                <w:sz w:val="16"/>
              </w:rPr>
              <w:t>Four evidence screenshots in docs/screenshots</w:t>
            </w:r>
          </w:p>
        </w:tc>
        <w:tc>
          <w:tcPr>
            <w:tcW w:type="dxa" w:w="3600"/>
            <w:vAlign w:val="center"/>
            <w:tcMar>
              <w:top w:w="100" w:type="dxa"/>
              <w:start w:w="120" w:type="dxa"/>
              <w:bottom w:w="100" w:type="dxa"/>
              <w:end w:w="120" w:type="dxa"/>
            </w:tcMar>
          </w:tcPr>
          <w:p>
            <w:pPr>
              <w:spacing w:after="0"/>
            </w:pPr>
            <w:r>
              <w:rPr>
                <w:rFonts w:ascii="Aptos" w:hAnsi="Aptos"/>
                <w:b w:val="0"/>
                <w:color w:val="263238"/>
                <w:sz w:val="16"/>
              </w:rPr>
              <w:t>Short demo video remains</w:t>
            </w:r>
          </w:p>
        </w:tc>
      </w:tr>
    </w:tbl>
    <w:p>
      <w:pPr>
        <w:pStyle w:val="Heading1"/>
        <w:keepNext/>
        <w:spacing w:before="100" w:after="140"/>
      </w:pPr>
      <w:r>
        <w:rPr>
          <w:rFonts w:ascii="Aptos" w:hAnsi="Aptos"/>
          <w:b/>
          <w:color w:val="000000"/>
          <w:sz w:val="34"/>
        </w:rPr>
        <w:t>Conclusion and limitations</w:t>
      </w:r>
    </w:p>
    <w:p>
      <w:pPr>
        <w:spacing w:before="0" w:after="120" w:line="269" w:lineRule="auto"/>
      </w:pPr>
      <w:r>
        <w:rPr>
          <w:rFonts w:ascii="Aptos" w:hAnsi="Aptos"/>
          <w:b w:val="0"/>
          <w:color w:val="263238"/>
          <w:sz w:val="19"/>
        </w:rPr>
        <w:t>Docker Compose and the local Docker Desktop Kind cluster have both been exercised. The Kubernetes Deployment reached two ready replicas, and /health, /predict, and /metrics were verified through port-forwarding. Prometheus, Grafana, Kubernetes, and GitHub Actions screenshots are included. The current GitHub Actions result is Passed (recorded GitHub Actions run #4 on commit e808c1d; workflow concluded successfully). No public cloud endpoint is claimed; a short demo video and the course submission remain for the student. The dataset has only 303 historical records, so model metrics should not be used for diagnosis or health decisions.</w:t>
      </w:r>
    </w:p>
    <w:p>
      <w:pPr>
        <w:pStyle w:val="Heading2"/>
        <w:keepNext/>
        <w:spacing w:before="40" w:after="80"/>
      </w:pPr>
      <w:r>
        <w:rPr>
          <w:rFonts w:ascii="Aptos" w:hAnsi="Aptos"/>
          <w:b/>
          <w:color w:val="000000"/>
          <w:sz w:val="24"/>
        </w:rPr>
        <w:t>References</w:t>
      </w:r>
    </w:p>
    <w:p>
      <w:pPr>
        <w:spacing w:before="0" w:after="60" w:line="269" w:lineRule="auto"/>
      </w:pPr>
      <w:r>
        <w:rPr>
          <w:rFonts w:ascii="Aptos" w:hAnsi="Aptos"/>
          <w:b w:val="0"/>
          <w:color w:val="263238"/>
          <w:sz w:val="16"/>
        </w:rPr>
        <w:t>UCI Machine Learning Repository. Heart Disease dataset, DOI 10.24432/C52P4X. https://archive.ics.uci.edu/dataset/45/heart+disease</w:t>
      </w:r>
    </w:p>
    <w:p>
      <w:pPr>
        <w:spacing w:before="0" w:after="60" w:line="269" w:lineRule="auto"/>
      </w:pPr>
      <w:r>
        <w:rPr>
          <w:rFonts w:ascii="Aptos" w:hAnsi="Aptos"/>
          <w:b w:val="0"/>
          <w:color w:val="263238"/>
          <w:sz w:val="16"/>
        </w:rPr>
        <w:t>MLflow. Tracking API documentation. https://mlflow.org/docs/latest/tracking/tracking-api/</w:t>
      </w:r>
    </w:p>
    <w:p>
      <w:pPr>
        <w:spacing w:before="0" w:after="0" w:line="269" w:lineRule="auto"/>
      </w:pPr>
      <w:r>
        <w:rPr>
          <w:rFonts w:ascii="Aptos" w:hAnsi="Aptos"/>
          <w:b w:val="0"/>
          <w:color w:val="263238"/>
          <w:sz w:val="16"/>
        </w:rPr>
        <w:t>scikit-learn. ColumnTransformer and model evaluation documentation. https://scikit-learn.org/stable/modules/generated/sklearn.compose.ColumnTransformer.html</w:t>
      </w:r>
    </w:p>
    <w:sectPr w:rsidR="00FC693F" w:rsidRPr="0006063C" w:rsidSect="00034616">
      <w:headerReference w:type="default" r:id="rId9"/>
      <w:footerReference w:type="default" r:id="rId10"/>
      <w:pgSz w:w="12240" w:h="15840"/>
      <w:pgMar w:top="979" w:right="1123" w:bottom="979" w:left="1123"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color w:val="53616F"/>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color w:val="53616F"/>
        <w:sz w:val="16"/>
      </w:rPr>
      <w:t>MLOPS EXPERIMENTAL LEARNING  |  HEART DISEASE CLASSIFICATION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632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 Disease Classification MLOps Assignment Report</dc:title>
  <dc:subject>End-to-end MLOps assignment</dc:subject>
  <dc:creator>MLOps Assignment</dc:creator>
  <cp:keywords/>
  <dc:description>generated by python-docx</dc:description>
  <cp:lastModifiedBy/>
  <cp:revision>1</cp:revision>
  <dcterms:created xsi:type="dcterms:W3CDTF">2013-12-23T23:15:00Z</dcterms:created>
  <dcterms:modified xsi:type="dcterms:W3CDTF">2013-12-23T23:15:00Z</dcterms:modified>
  <cp:category/>
</cp:coreProperties>
</file>