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39c5e5f85f707855ad262e23fb473ebc299a24"/>
    <w:p>
      <w:pPr>
        <w:pStyle w:val="Heading1"/>
      </w:pPr>
      <w:r>
        <w:t xml:space="preserve">Design Document: Mini Production ML System — Customer Churn Prediction</w:t>
      </w:r>
    </w:p>
    <w:bookmarkStart w:id="20" w:name="problem-definition-and-metrics"/>
    <w:p>
      <w:pPr>
        <w:pStyle w:val="Heading2"/>
      </w:pPr>
      <w:r>
        <w:t xml:space="preserve">1. Problem Definition and Metrics</w:t>
      </w:r>
    </w:p>
    <w:p>
      <w:pPr>
        <w:pStyle w:val="FirstParagraph"/>
      </w:pPr>
      <w:r>
        <w:rPr>
          <w:bCs/>
          <w:b/>
        </w:rPr>
        <w:t xml:space="preserve">Use case.</w:t>
      </w:r>
      <w:r>
        <w:t xml:space="preserve"> </w:t>
      </w:r>
      <w:r>
        <w:t xml:space="preserve">Binary classification: predict whether a telecom customer will churn, using account, billing, and service-subscription attributes available at scoring time. Predictions feed a retention workflow — customers above a risk threshold are surfaced to a retention team or an automated offer flow.</w:t>
      </w:r>
    </w:p>
    <w:p>
      <w:pPr>
        <w:pStyle w:val="BodyText"/>
      </w:pPr>
      <w:r>
        <w:rPr>
          <w:bCs/>
          <w:b/>
        </w:rPr>
        <w:t xml:space="preserve">Dataset.</w:t>
      </w:r>
      <w:r>
        <w:t xml:space="preserve"> </w:t>
      </w:r>
      <w:r>
        <w:t xml:space="preserve">IBM Telco Customer Churn dataset (7,043 customers, 21 raw columns, public). Target: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 </w:t>
      </w:r>
      <w:r>
        <w:t xml:space="preserve">(Yes/No), positive rate ≈ 26.5%.</w:t>
      </w:r>
    </w:p>
    <w:p>
      <w:pPr>
        <w:pStyle w:val="BodyText"/>
      </w:pPr>
      <w:r>
        <w:rPr>
          <w:bCs/>
          <w:b/>
        </w:rPr>
        <w:t xml:space="preserve">Metrics.</w:t>
      </w:r>
      <w:r>
        <w:t xml:space="preserve"> </w:t>
      </w:r>
      <w:r>
        <w:t xml:space="preserve">ROC AUC is primary because the business action — ranking customers by risk to prioritize outreach — depends on rank quality, not a single fixed threshold; AUC is threshold-independent. Accuracy is reported but not primary: with a ~74/26 split, a trivial</w:t>
      </w:r>
      <w:r>
        <w:t xml:space="preserve"> </w:t>
      </w:r>
      <w:r>
        <w:t xml:space="preserve">“</w:t>
      </w:r>
      <w:r>
        <w:t xml:space="preserve">always no churn</w:t>
      </w:r>
      <w:r>
        <w:t xml:space="preserve">”</w:t>
      </w:r>
      <w:r>
        <w:t xml:space="preserve"> </w:t>
      </w:r>
      <w:r>
        <w:t xml:space="preserve">model scores ~74% while being useless. Precision/recall are reported because they map to concrete costs: a false positive wastes a retention offer; a false negative is a lost customer with no intervention attempted. The API returns the raw probability so the operating threshold is a downstream business decision, not baked into the model.</w:t>
      </w:r>
    </w:p>
    <w:bookmarkEnd w:id="20"/>
    <w:bookmarkStart w:id="21" w:name="data-and-feature-design"/>
    <w:p>
      <w:pPr>
        <w:pStyle w:val="Heading2"/>
      </w:pPr>
      <w:r>
        <w:t xml:space="preserve">2. Data and Feature Design</w:t>
      </w:r>
    </w:p>
    <w:p>
      <w:pPr>
        <w:pStyle w:val="FirstParagraph"/>
      </w:pPr>
      <w:r>
        <w:rPr>
          <w:bCs/>
          <w:b/>
        </w:rPr>
        <w:t xml:space="preserve">Source and cleaning.</w:t>
      </w:r>
      <w:r>
        <w:t xml:space="preserve"> </w:t>
      </w:r>
      <w:r>
        <w:t xml:space="preserve">Data arrives as CSV batches (simulated as an initial 6,000-row historical batch plus daily drops of ~500 rows). One documented cleaning assumption: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 </w:t>
      </w:r>
      <w:r>
        <w:t xml:space="preserve">arrives blank for customers at</w:t>
      </w:r>
      <w:r>
        <w:t xml:space="preserve"> </w:t>
      </w:r>
      <w:r>
        <w:rPr>
          <w:rStyle w:val="VerbatimChar"/>
        </w:rPr>
        <w:t xml:space="preserve">tenure == 0</w:t>
      </w:r>
      <w:r>
        <w:t xml:space="preserve"> </w:t>
      </w:r>
      <w:r>
        <w:t xml:space="preserve">(not yet billed) — filled with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rather than dropped, since tenure-0 is a real, informative state.</w:t>
      </w:r>
    </w:p>
    <w:p>
      <w:pPr>
        <w:pStyle w:val="BodyText"/>
      </w:pPr>
      <w:r>
        <w:rPr>
          <w:bCs/>
          <w:b/>
        </w:rPr>
        <w:t xml:space="preserve">Engineered features (5, beyond raw passthrough):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tenure_band</w:t>
      </w:r>
      <w:r>
        <w:t xml:space="preserve"> </w:t>
      </w:r>
      <w:r>
        <w:t xml:space="preserve">— ordinal bucket of tenure (0–6mo, 7–12mo, 1–2yr, 2–4yr, 4yr+); coarsens noisy month-level tenure into a business-meaningful risk band.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avg_monthly_spend_per_service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MonthlyCharges</w:t>
      </w:r>
      <w:r>
        <w:t xml:space="preserve"> </w:t>
      </w:r>
      <w:r>
        <w:t xml:space="preserve">/ count of active services; normalizes spend by usage rather than raw dollars.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is_new_customer</w:t>
      </w:r>
      <w:r>
        <w:t xml:space="preserve"> </w:t>
      </w:r>
      <w:r>
        <w:t xml:space="preserve">— binary flag for</w:t>
      </w:r>
      <w:r>
        <w:t xml:space="preserve"> </w:t>
      </w:r>
      <w:r>
        <w:rPr>
          <w:rStyle w:val="VerbatimChar"/>
        </w:rPr>
        <w:t xml:space="preserve">tenure &lt;= 3</w:t>
      </w:r>
      <w:r>
        <w:t xml:space="preserve"> </w:t>
      </w:r>
      <w:r>
        <w:t xml:space="preserve">months, isolating the known early-churn window as its own signal.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contract_risk_score</w:t>
      </w:r>
      <w:r>
        <w:t xml:space="preserve"> </w:t>
      </w:r>
      <w:r>
        <w:t xml:space="preserve">— composite of contract type (month-to-month scores higher) and paperless billing, encoding the prior that low-commitment customers churn more.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total_to_monthly_ratio</w:t>
      </w:r>
      <w:r>
        <w:t xml:space="preserve"> </w:t>
      </w:r>
      <w:r>
        <w:t xml:space="preserve">— cumulative spend relative to current monthly rate; catches customers who recently changed plans, which raw tenure alone would miss.</w:t>
      </w:r>
    </w:p>
    <w:p>
      <w:pPr>
        <w:pStyle w:val="BodyText"/>
      </w:pPr>
      <w:r>
        <w:rPr>
          <w:bCs/>
          <w:b/>
        </w:rPr>
        <w:t xml:space="preserve">Offline vs. online.</w:t>
      </w:r>
      <w:r>
        <w:t xml:space="preserve"> </w:t>
      </w:r>
      <w:r>
        <w:t xml:space="preserve">All five features are computed from fields on a single customer record — no joins or cross-customer aggregation. This means the same</w:t>
      </w:r>
      <w:r>
        <w:t xml:space="preserve"> </w:t>
      </w:r>
      <w:r>
        <w:rPr>
          <w:rStyle w:val="VerbatimChar"/>
        </w:rPr>
        <w:t xml:space="preserve">build_features()</w:t>
      </w:r>
      <w:r>
        <w:t xml:space="preserve"> </w:t>
      </w:r>
      <w:r>
        <w:t xml:space="preserve">function runs unchanged in training (batch, over a DataFrame) and serving (online, over one request), with no feature store needed for v1. Cross-customer aggregates (e.g.,</w:t>
      </w:r>
      <w:r>
        <w:t xml:space="preserve"> </w:t>
      </w:r>
      <w:r>
        <w:t xml:space="preserve">“</w:t>
      </w:r>
      <w:r>
        <w:t xml:space="preserve">churn rate in this price tier over 30 days</w:t>
      </w:r>
      <w:r>
        <w:t xml:space="preserve">”</w:t>
      </w:r>
      <w:r>
        <w:t xml:space="preserve">) would require moving to a precomputed feature table with a lookup key.</w:t>
      </w:r>
    </w:p>
    <w:p>
      <w:pPr>
        <w:pStyle w:val="BodyText"/>
      </w:pPr>
      <w:r>
        <w:rPr>
          <w:bCs/>
          <w:b/>
        </w:rPr>
        <w:t xml:space="preserve">Training–serving skew.</w:t>
      </w:r>
      <w:r>
        <w:t xml:space="preserve"> </w:t>
      </w:r>
      <w:r>
        <w:rPr>
          <w:rStyle w:val="VerbatimChar"/>
        </w:rPr>
        <w:t xml:space="preserve">features/feature_engineering.py</w:t>
      </w:r>
      <w:r>
        <w:t xml:space="preserve"> </w:t>
      </w:r>
      <w:r>
        <w:t xml:space="preserve">is imported by both</w:t>
      </w:r>
      <w:r>
        <w:t xml:space="preserve"> </w:t>
      </w:r>
      <w:r>
        <w:rPr>
          <w:rStyle w:val="VerbatimChar"/>
        </w:rPr>
        <w:t xml:space="preserve">training/train.ipynb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serving/app.py</w:t>
      </w:r>
      <w:r>
        <w:t xml:space="preserve"> </w:t>
      </w:r>
      <w:r>
        <w:t xml:space="preserve">— one implementation, not two.</w:t>
      </w:r>
      <w:r>
        <w:t xml:space="preserve"> </w:t>
      </w:r>
      <w:r>
        <w:rPr>
          <w:rStyle w:val="VerbatimChar"/>
        </w:rPr>
        <w:t xml:space="preserve">encode_for_model</w:t>
      </w:r>
      <w:r>
        <w:t xml:space="preserve"> </w:t>
      </w:r>
      <w:r>
        <w:t xml:space="preserve">saves the trained column schema alongside the model artifact; at serving time a single-row request is encoded against that saved schema (missing columns filled with 0, unseen categories dropped), guaranteeing identical feature-vector shape and column order to training. Verified by</w:t>
      </w:r>
      <w:r>
        <w:t xml:space="preserve"> </w:t>
      </w:r>
      <w:r>
        <w:rPr>
          <w:rStyle w:val="VerbatimChar"/>
        </w:rPr>
        <w:t xml:space="preserve">tests/test_features.py::test_encode_for_model_train_then_serve_shape_matches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Data pipeline.</w:t>
      </w:r>
      <w:r>
        <w:t xml:space="preserve"> </w:t>
      </w:r>
      <w:r>
        <w:rPr>
          <w:rStyle w:val="VerbatimChar"/>
        </w:rPr>
        <w:t xml:space="preserve">ingestion/ingest.ipynb</w:t>
      </w:r>
      <w:r>
        <w:t xml:space="preserve"> </w:t>
      </w:r>
      <w:r>
        <w:t xml:space="preserve">reads a new daily CSV, validates schema against a required-columns list, appends to a running</w:t>
      </w:r>
      <w:r>
        <w:t xml:space="preserve"> </w:t>
      </w:r>
      <w:r>
        <w:rPr>
          <w:rStyle w:val="VerbatimChar"/>
        </w:rPr>
        <w:t xml:space="preserve">training_table.csv</w:t>
      </w:r>
      <w:r>
        <w:t xml:space="preserve">, and logs each ingestion (source, row count, content hash, timestamp) to a JSONL log. A content-hash check makes re-ingesting the same file a no-op. In production this validate→append→log logic is what would run inside a scheduled Airflow/Prefect task, writing to a warehouse table instead of a flat CSV.</w:t>
      </w:r>
    </w:p>
    <w:bookmarkEnd w:id="21"/>
    <w:bookmarkStart w:id="22" w:name="model-choice-and-evaluation"/>
    <w:p>
      <w:pPr>
        <w:pStyle w:val="Heading2"/>
      </w:pPr>
      <w:r>
        <w:t xml:space="preserve">3. Model Choice and Evaluation</w:t>
      </w:r>
    </w:p>
    <w:p>
      <w:pPr>
        <w:pStyle w:val="FirstParagraph"/>
      </w:pPr>
      <w:r>
        <w:rPr>
          <w:bCs/>
          <w:b/>
        </w:rPr>
        <w:t xml:space="preserve">Pipeline.</w:t>
      </w:r>
      <w:r>
        <w:t xml:space="preserve"> </w:t>
      </w:r>
      <w:r>
        <w:rPr>
          <w:rStyle w:val="VerbatimChar"/>
        </w:rPr>
        <w:t xml:space="preserve">training/train.ipynb</w:t>
      </w:r>
      <w:r>
        <w:t xml:space="preserve">: load data → build features → stratified 70/15/15 train/val/test split → train baseline and candidate → evaluate on validation → apply promotion rule → evaluate the promoted model on held-out test → save model, scaler, column schema, and a JSON eval report.</w:t>
      </w:r>
    </w:p>
    <w:p>
      <w:pPr>
        <w:pStyle w:val="BodyText"/>
      </w:pPr>
      <w:r>
        <w:rPr>
          <w:bCs/>
          <w:b/>
        </w:rPr>
        <w:t xml:space="preserve">Baseline vs. candidate.</w:t>
      </w:r>
      <w:r>
        <w:t xml:space="preserve"> </w:t>
      </w:r>
      <w:r>
        <w:t xml:space="preserve">Baseline: class-weighted Logistic Regression (fast, interpretable). Candidate: class-weighted Random Forest (captures non-linear interactions, e.g., contract type x tenure).</w:t>
      </w:r>
    </w:p>
    <w:p>
      <w:pPr>
        <w:pStyle w:val="BodyText"/>
      </w:pPr>
      <w:r>
        <w:rPr>
          <w:bCs/>
          <w:b/>
        </w:rPr>
        <w:t xml:space="preserve">Results from an actual training run: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(Logistic Regression)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(Random Forest)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Promotion rule:</w:t>
      </w:r>
      <w:r>
        <w:t xml:space="preserve"> </w:t>
      </w:r>
      <w:r>
        <w:t xml:space="preserve">promote the candidate only if</w:t>
      </w:r>
      <w:r>
        <w:t xml:space="preserve"> </w:t>
      </w:r>
      <w:r>
        <w:rPr>
          <w:rStyle w:val="VerbatimChar"/>
        </w:rPr>
        <w:t xml:space="preserve">AUC &gt;= 0.80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AUC &gt;= baseline_AUC - 0.01</w:t>
      </w:r>
      <w:r>
        <w:t xml:space="preserve">. The candidate’s AUC (0.853) is 0.005 below baseline — within tolerance — so it was promoted. Worth flagging honestly: the simpler, more interpretable baseline was marginally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here. In a real deployment I’d either tighten the tolerance to require strictly-better-or-equal before adding model complexity, or keep the Random Forest deliberately if its precision/recall balance suits the business cost trade-off better — not promote on AUC alone. The chosen model’s held-out test AUC was 0.814, notably below its own validation AUC (0.853), suggesting a single train/val split is optimistic here; k-fold cross-validation would give a steadier estimate before promotion decisions.</w:t>
      </w:r>
    </w:p>
    <w:bookmarkEnd w:id="22"/>
    <w:bookmarkStart w:id="23" w:name="serving-and-inference-pattern"/>
    <w:p>
      <w:pPr>
        <w:pStyle w:val="Heading2"/>
      </w:pPr>
      <w:r>
        <w:t xml:space="preserve">4. Serving and Inference Pattern</w:t>
      </w:r>
    </w:p>
    <w:p>
      <w:pPr>
        <w:pStyle w:val="FirstParagraph"/>
      </w:pPr>
      <w:r>
        <w:rPr>
          <w:bCs/>
          <w:b/>
        </w:rPr>
        <w:t xml:space="preserve">Pattern: online request–response</w:t>
      </w:r>
      <w:r>
        <w:t xml:space="preserve"> </w:t>
      </w:r>
      <w:r>
        <w:t xml:space="preserve">via FastAPI (</w:t>
      </w:r>
      <w:r>
        <w:rPr>
          <w:rStyle w:val="VerbatimChar"/>
        </w:rPr>
        <w:t xml:space="preserve">POST /predict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). REST over gRPC: gRPC’s advantages (binary protocol, lower overhead, streaming) matter most at high volume or service-to-service calls; here the consumer is a small internal tool, so REST’s simplicity and debuggability win, especially given the generous latency budget.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 something waiting?</w:t>
      </w:r>
      <w:r>
        <w:t xml:space="preserve"> </w:t>
      </w:r>
      <w:r>
        <w:t xml:space="preserve">Yes — a retention agent or an event-triggered flow needs a score at the moment of interaction.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Acceptable latency?</w:t>
      </w:r>
      <w:r>
        <w:t xml:space="preserve"> </w:t>
      </w:r>
      <w:r>
        <w:t xml:space="preserve">Generous (seconds, not milliseconds) — not a fraud-block or ad-auction case, so a synchronous endpoint over an in-memory model suffices.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Batch or streaming by nature?</w:t>
      </w:r>
      <w:r>
        <w:t xml:space="preserve"> </w:t>
      </w:r>
      <w:r>
        <w:t xml:space="preserve">Neither cleanly — queried per-customer on demand. The same artifact could equally run in a nightly batch-scoring job for a dashboard with no change to model or feature code, only the driver script.</w:t>
      </w:r>
    </w:p>
    <w:p>
      <w:pPr>
        <w:pStyle w:val="BodyText"/>
      </w:pPr>
      <w:r>
        <w:rPr>
          <w:bCs/>
          <w:b/>
        </w:rPr>
        <w:t xml:space="preserve">API contract.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takes raw customer fields (Pydantic-validated — bad categoricals or missing fields return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before any model code runs) and returns</w:t>
      </w:r>
      <w:r>
        <w:t xml:space="preserve"> </w:t>
      </w:r>
      <w:r>
        <w:rPr>
          <w:rStyle w:val="VerbatimChar"/>
        </w:rPr>
        <w:t xml:space="preserve">churn_probability</w:t>
      </w:r>
      <w:r>
        <w:t xml:space="preserve">, a boolean</w:t>
      </w:r>
      <w:r>
        <w:t xml:space="preserve"> </w:t>
      </w:r>
      <w:r>
        <w:rPr>
          <w:rStyle w:val="VerbatimChar"/>
        </w:rPr>
        <w:t xml:space="preserve">churn_prediction</w:t>
      </w:r>
      <w:r>
        <w:t xml:space="preserve"> </w:t>
      </w:r>
      <w:r>
        <w:t xml:space="preserve">at a 0.5 cut, and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/</w:t>
      </w:r>
      <w:r>
        <w:rPr>
          <w:rStyle w:val="VerbatimChar"/>
        </w:rPr>
        <w:t xml:space="preserve">model_name</w:t>
      </w:r>
      <w:r>
        <w:t xml:space="preserve"> </w:t>
      </w:r>
      <w:r>
        <w:t xml:space="preserve">for traceability.</w:t>
      </w:r>
    </w:p>
    <w:p>
      <w:pPr>
        <w:pStyle w:val="BodyText"/>
      </w:pPr>
      <w:r>
        <w:rPr>
          <w:bCs/>
          <w:b/>
        </w:rPr>
        <w:t xml:space="preserve">Measured latency/throughput</w:t>
      </w:r>
      <w:r>
        <w:t xml:space="preserve"> </w:t>
      </w:r>
      <w:r>
        <w:t xml:space="preserve">(200 sequential requests): avg 43.8ms, p50 42.3ms, p95 50.1ms, p99 77.0ms, 0 errors, ~23 req/s. Well within budget; concurrent-load headroom would come from multiple Uvicorn workers behind a load balancer, since the model is stateless.</w:t>
      </w:r>
    </w:p>
    <w:p>
      <w:pPr>
        <w:pStyle w:val="BodyText"/>
      </w:pPr>
      <w:r>
        <w:rPr>
          <w:bCs/>
          <w:b/>
        </w:rPr>
        <w:t xml:space="preserve">Rollout.</w:t>
      </w:r>
      <w:r>
        <w:t xml:space="preserve"> </w:t>
      </w:r>
      <w:r>
        <w:t xml:space="preserve">A single model version ships at a time (</w:t>
      </w:r>
      <w:r>
        <w:rPr>
          <w:rStyle w:val="VerbatimChar"/>
        </w:rPr>
        <w:t xml:space="preserve">models/latest.joblib</w:t>
      </w:r>
      <w:r>
        <w:t xml:space="preserve">) — fine at this scale. In a higher-stakes deployment, a new model would go through a canary rollout: route a small percentage of traffic to the new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, compare metrics between cohorts, then shift fully once healthy. The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 </w:t>
      </w:r>
      <w:r>
        <w:t xml:space="preserve">already returned on every response is what would let a dashboard split metrics by cohort.</w:t>
      </w:r>
    </w:p>
    <w:p>
      <w:pPr>
        <w:pStyle w:val="BodyText"/>
      </w:pPr>
      <w:r>
        <w:rPr>
          <w:bCs/>
          <w:b/>
        </w:rPr>
        <w:t xml:space="preserve">Containerization.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builds a slim Python image running Uvicorn, with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mounted as a volume so a new model deploys without a rebuild.</w:t>
      </w:r>
    </w:p>
    <w:bookmarkEnd w:id="23"/>
    <w:bookmarkStart w:id="24" w:name="data-pipeline-and-retraining-strategy"/>
    <w:p>
      <w:pPr>
        <w:pStyle w:val="Heading2"/>
      </w:pPr>
      <w:r>
        <w:t xml:space="preserve">5. Data Pipeline and Retraining Strategy</w:t>
      </w:r>
    </w:p>
    <w:p>
      <w:pPr>
        <w:pStyle w:val="FirstParagraph"/>
      </w:pPr>
      <w:r>
        <w:rPr>
          <w:rStyle w:val="VerbatimChar"/>
        </w:rPr>
        <w:t xml:space="preserve">monitoring/retrain_trigger.ipynb</w:t>
      </w:r>
      <w:r>
        <w:t xml:space="preserve"> </w:t>
      </w:r>
      <w:r>
        <w:t xml:space="preserve">evaluates three independent signals, any one sufficient to recommend a retrain: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Volume</w:t>
      </w:r>
      <w:r>
        <w:t xml:space="preserve"> </w:t>
      </w:r>
      <w:r>
        <w:t xml:space="preserve">— &gt;=500 new labeled rows since last training (routine refresh).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Performance</w:t>
      </w:r>
      <w:r>
        <w:t xml:space="preserve"> </w:t>
      </w:r>
      <w:r>
        <w:t xml:space="preserve">— AUC on recent labeled feedback dropped &gt;=0.03 vs. promotion-time AUC.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Drift</w:t>
      </w:r>
      <w:r>
        <w:t xml:space="preserve"> </w:t>
      </w:r>
      <w:r>
        <w:t xml:space="preserve">— &gt;=3 consecutive drift-check runs flagged.</w:t>
      </w:r>
    </w:p>
    <w:p>
      <w:pPr>
        <w:pStyle w:val="BodyText"/>
      </w:pPr>
      <w:r>
        <w:t xml:space="preserve">Implemented as a plain function (</w:t>
      </w:r>
      <w:r>
        <w:rPr>
          <w:rStyle w:val="VerbatimChar"/>
        </w:rPr>
        <w:t xml:space="preserve">should_retrain(signals) -&gt; {retrain, reasons}</w:t>
      </w:r>
      <w:r>
        <w:t xml:space="preserve">) a scheduler would call daily; not wired to an actual scheduler, per the assignment’s scope.</w:t>
      </w:r>
    </w:p>
    <w:bookmarkEnd w:id="24"/>
    <w:bookmarkStart w:id="25" w:name="monitoring-plan-and-basic-alerts"/>
    <w:p>
      <w:pPr>
        <w:pStyle w:val="Heading2"/>
      </w:pPr>
      <w:r>
        <w:t xml:space="preserve">6. Monitoring Plan and Basic Alerts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Infra:</w:t>
      </w:r>
      <w:r>
        <w:t xml:space="preserve"> </w:t>
      </w:r>
      <w:r>
        <w:t xml:space="preserve">request latency (avg, p95) and error rate, via structured per-request log lines and</w:t>
      </w:r>
      <w:r>
        <w:t xml:space="preserve"> </w:t>
      </w:r>
      <w:r>
        <w:rPr>
          <w:rStyle w:val="VerbatimChar"/>
        </w:rPr>
        <w:t xml:space="preserve">serving/load_test.ipynb</w:t>
      </w:r>
      <w:r>
        <w:t xml:space="preserve">. Audience: on-call engineer; alert on p95 exceeding SLA or error rate &gt;2% over 15 minutes.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Data/feature:</w:t>
      </w:r>
      <w:r>
        <w:t xml:space="preserve"> </w:t>
      </w:r>
      <w:r>
        <w:t xml:space="preserve">null counts, out-of-range values, and mean/std drift per numeric feature (</w:t>
      </w:r>
      <w:r>
        <w:rPr>
          <w:rStyle w:val="VerbatimChar"/>
        </w:rPr>
        <w:t xml:space="preserve">monitoring/drift_check.ipynb</w:t>
      </w:r>
      <w:r>
        <w:t xml:space="preserve">). Audience: data/ML engineering; alert on drift z-shift exceeding threshold or nulls appearing in previously-clean columns (likely an upstream schema change).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Model/business:</w:t>
      </w:r>
      <w:r>
        <w:t xml:space="preserve"> </w:t>
      </w:r>
      <w:r>
        <w:t xml:space="preserve">AUC on recent labeled feedback once outcomes are known, plus a proxy KPI like retention-offer redemption rate. Audience: retention + ML engineering; alert on sustained AUC degradation.</w:t>
      </w:r>
    </w:p>
    <w:p>
      <w:pPr>
        <w:pStyle w:val="FirstParagraph"/>
      </w:pPr>
      <w:r>
        <w:rPr>
          <w:rStyle w:val="VerbatimChar"/>
        </w:rPr>
        <w:t xml:space="preserve">drift_check.ipynb</w:t>
      </w:r>
      <w:r>
        <w:t xml:space="preserve"> </w:t>
      </w:r>
      <w:r>
        <w:t xml:space="preserve">compares training-set vs. recent-batch means (z-shift score) and checks nulls/out-of-range values. On the sample daily batch used here, nothing was flagged — expected, since both batches share a distribution; the check has been validated to correctly flag a synthetic mean shift.</w:t>
      </w:r>
    </w:p>
    <w:bookmarkEnd w:id="25"/>
    <w:bookmarkStart w:id="26" w:name="incident-scenario"/>
    <w:p>
      <w:pPr>
        <w:pStyle w:val="Heading2"/>
      </w:pPr>
      <w:r>
        <w:t xml:space="preserve">7. Incident Scenario</w:t>
      </w:r>
    </w:p>
    <w:p>
      <w:pPr>
        <w:pStyle w:val="FirstParagraph"/>
      </w:pPr>
      <w:r>
        <w:rPr>
          <w:bCs/>
          <w:b/>
        </w:rPr>
        <w:t xml:space="preserve">Upstream schema change.</w:t>
      </w:r>
      <w:r>
        <w:t xml:space="preserve"> </w:t>
      </w:r>
      <w:r>
        <w:t xml:space="preserve">Suppose the billing system renames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total_charges_usd</w:t>
      </w:r>
      <w:r>
        <w:t xml:space="preserve"> </w:t>
      </w:r>
      <w:r>
        <w:t xml:space="preserve">without notice.</w:t>
      </w:r>
      <w:r>
        <w:t xml:space="preserve"> </w:t>
      </w:r>
      <w:r>
        <w:rPr>
          <w:rStyle w:val="VerbatimChar"/>
        </w:rPr>
        <w:t xml:space="preserve">ingest.ipynb</w:t>
      </w:r>
      <w:r>
        <w:t xml:space="preserve">’s schema validation fails immediately (</w:t>
      </w:r>
      <w:r>
        <w:rPr>
          <w:rStyle w:val="VerbatimChar"/>
        </w:rPr>
        <w:t xml:space="preserve">Missing columns: ['TotalCharges']</w:t>
      </w:r>
      <w:r>
        <w:t xml:space="preserve">), so no corrupted data is appended — a hard stop, not silent skew. Detection: the ingestion job’s failure alerts on-call (infra metric: job failure rate). If a subtler change bypassed validation (e.g., a partial rename that shifts values but keeps columns), the drift check would likely catch it as an anomalous mean/null shift on the next run. Response: pause retraining, roll back to the last known-good model if serving-time features are affected (the encoder degrades gracefully via</w:t>
      </w:r>
      <w:r>
        <w:t xml:space="preserve"> </w:t>
      </w:r>
      <w:r>
        <w:rPr>
          <w:rStyle w:val="VerbatimChar"/>
        </w:rPr>
        <w:t xml:space="preserve">fill_value=0</w:t>
      </w:r>
      <w:r>
        <w:t xml:space="preserve"> </w:t>
      </w:r>
      <w:r>
        <w:t xml:space="preserve">rather than crashing, though predictions become less reliable), and coordinate with upstream to fix the schema before resuming ingestion.</w:t>
      </w:r>
    </w:p>
    <w:bookmarkEnd w:id="26"/>
    <w:bookmarkStart w:id="27" w:name="Xce1bd83e42d491daac74fd6181b18b6fde21812"/>
    <w:p>
      <w:pPr>
        <w:pStyle w:val="Heading2"/>
      </w:pPr>
      <w:r>
        <w:t xml:space="preserve">8. Key Trade-offs, Limitations, and Future Work</w:t>
      </w:r>
    </w:p>
    <w:p>
      <w:pPr>
        <w:pStyle w:val="FirstParagraph"/>
      </w:pPr>
      <w:r>
        <w:rPr>
          <w:bCs/>
          <w:b/>
        </w:rPr>
        <w:t xml:space="preserve">Trade-offs:</w:t>
      </w:r>
      <w:r>
        <w:t xml:space="preserve"> </w:t>
      </w:r>
      <w:r>
        <w:t xml:space="preserve">flat-file ingestion instead of a warehouse (appropriate at this scale, would need to move to a warehouse + orchestrator for production volume); no model registry —</w:t>
      </w:r>
      <w:r>
        <w:t xml:space="preserve"> </w:t>
      </w:r>
      <w:r>
        <w:rPr>
          <w:rStyle w:val="VerbatimChar"/>
        </w:rPr>
        <w:t xml:space="preserve">latest.joblib</w:t>
      </w:r>
      <w:r>
        <w:t xml:space="preserve"> </w:t>
      </w:r>
      <w:r>
        <w:t xml:space="preserve">is a convention, not a versioned registry with approvals/rollback; drift check uses a simple z-shift rather than PSI/KS-test (cheap trip-wire, can miss shape changes that preserve the mean); single train/val/test split rather than k-fold (faster to iterate, but the val/test AUC gap suggests non-trivial split variance).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the dataset is a static snapshot with no true</w:t>
      </w:r>
      <w:r>
        <w:t xml:space="preserve"> </w:t>
      </w:r>
      <w:r>
        <w:t xml:space="preserve">“</w:t>
      </w:r>
      <w:r>
        <w:t xml:space="preserve">recent labeled feedback,</w:t>
      </w:r>
      <w:r>
        <w:t xml:space="preserve">”</w:t>
      </w:r>
      <w:r>
        <w:t xml:space="preserve"> </w:t>
      </w:r>
      <w:r>
        <w:t xml:space="preserve">so the performance-based retraining signal is tested only against synthetic scenarios; the promotion rule optimizes for AUC only, not inference cost.</w:t>
      </w:r>
    </w:p>
    <w:p>
      <w:pPr>
        <w:pStyle w:val="BodyText"/>
      </w:pPr>
      <w:r>
        <w:rPr>
          <w:bCs/>
          <w:b/>
        </w:rPr>
        <w:t xml:space="preserve">Future work:</w:t>
      </w:r>
      <w:r>
        <w:t xml:space="preserve"> </w:t>
      </w:r>
      <w:r>
        <w:t xml:space="preserve">a real model registry with rollback; orchestrated ingestion into a warehouse; PSI/KS-test drift checks plus prediction-distribution monitoring (catches degradation even when inputs look stable); auth and rate limiting before real customer data touches the API; exporting to ONNX if a lower-latency or edge deployment target ever required it — not pursued now since ~44ms average latency already comfortably meets this use case’s needs.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2026-08-08T16:41:44Z</dcterms:created>
  <dcterms:modified xsi:type="dcterms:W3CDTF">2026-08-08T16:41:44Z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