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87AA29">
      <w:pPr>
        <w:jc w:val="center"/>
        <w:rPr>
          <w:rFonts w:hint="default" w:ascii="Times New Roman" w:hAnsi="Times New Roman" w:cs="Times New Roman"/>
          <w:b/>
          <w:sz w:val="48"/>
        </w:rPr>
      </w:pPr>
    </w:p>
    <w:p w14:paraId="23967B40">
      <w:pPr>
        <w:jc w:val="center"/>
        <w:rPr>
          <w:rFonts w:hint="default" w:ascii="Times New Roman" w:hAnsi="Times New Roman" w:cs="Times New Roman"/>
          <w:b/>
          <w:sz w:val="48"/>
        </w:rPr>
      </w:pPr>
    </w:p>
    <w:p w14:paraId="13141ECE">
      <w:pPr>
        <w:jc w:val="center"/>
        <w:rPr>
          <w:rFonts w:hint="default" w:ascii="Times New Roman" w:hAnsi="Times New Roman" w:cs="Times New Roman"/>
          <w:b/>
          <w:sz w:val="48"/>
        </w:rPr>
      </w:pPr>
    </w:p>
    <w:p w14:paraId="65B9FBE3">
      <w:pPr>
        <w:jc w:val="center"/>
        <w:rPr>
          <w:rFonts w:hint="default" w:ascii="Times New Roman" w:hAnsi="Times New Roman" w:cs="Times New Roman"/>
          <w:b/>
          <w:sz w:val="48"/>
        </w:rPr>
      </w:pPr>
    </w:p>
    <w:p w14:paraId="68ED040C">
      <w:pPr>
        <w:jc w:val="center"/>
        <w:rPr>
          <w:rFonts w:hint="default" w:ascii="Times New Roman" w:hAnsi="Times New Roman" w:cs="Times New Roman"/>
        </w:rPr>
      </w:pPr>
      <w:bookmarkStart w:id="0" w:name="_GoBack"/>
      <w:bookmarkEnd w:id="0"/>
      <w:r>
        <w:rPr>
          <w:rFonts w:hint="default" w:ascii="Times New Roman" w:hAnsi="Times New Roman" w:cs="Times New Roman"/>
          <w:b/>
          <w:sz w:val="48"/>
        </w:rPr>
        <w:t>Mini Production ML System</w:t>
      </w:r>
    </w:p>
    <w:p w14:paraId="25C798DC">
      <w:pPr>
        <w:jc w:val="center"/>
        <w:rPr>
          <w:rFonts w:hint="default" w:ascii="Times New Roman" w:hAnsi="Times New Roman" w:cs="Times New Roman"/>
        </w:rPr>
      </w:pPr>
      <w:r>
        <w:rPr>
          <w:rFonts w:hint="default" w:ascii="Times New Roman" w:hAnsi="Times New Roman" w:cs="Times New Roman"/>
          <w:b/>
          <w:sz w:val="36"/>
        </w:rPr>
        <w:t>Telco Customer Churn Prediction</w:t>
      </w:r>
    </w:p>
    <w:p w14:paraId="186E9B53">
      <w:pPr>
        <w:jc w:val="center"/>
        <w:rPr>
          <w:rFonts w:hint="default" w:ascii="Times New Roman" w:hAnsi="Times New Roman" w:cs="Times New Roman"/>
        </w:rPr>
      </w:pPr>
      <w:r>
        <w:rPr>
          <w:rFonts w:hint="default" w:ascii="Times New Roman" w:hAnsi="Times New Roman" w:cs="Times New Roman"/>
          <w:sz w:val="28"/>
        </w:rPr>
        <w:br w:type="textWrapping"/>
      </w:r>
      <w:r>
        <w:rPr>
          <w:rFonts w:hint="default" w:ascii="Times New Roman" w:hAnsi="Times New Roman" w:cs="Times New Roman"/>
          <w:sz w:val="28"/>
        </w:rPr>
        <w:t>Design Document</w:t>
      </w:r>
      <w:r>
        <w:rPr>
          <w:rFonts w:hint="default" w:ascii="Times New Roman" w:hAnsi="Times New Roman" w:cs="Times New Roman"/>
          <w:sz w:val="28"/>
        </w:rPr>
        <w:br w:type="textWrapping"/>
      </w:r>
      <w:r>
        <w:rPr>
          <w:rFonts w:hint="default" w:ascii="Times New Roman" w:hAnsi="Times New Roman" w:cs="Times New Roman"/>
          <w:sz w:val="22"/>
        </w:rPr>
        <w:t>Production-oriented binary classification system</w:t>
      </w:r>
      <w:r>
        <w:rPr>
          <w:rFonts w:hint="default" w:ascii="Times New Roman" w:hAnsi="Times New Roman" w:cs="Times New Roman"/>
          <w:sz w:val="22"/>
        </w:rPr>
        <w:br w:type="textWrapping"/>
      </w:r>
      <w:r>
        <w:rPr>
          <w:rFonts w:hint="default" w:ascii="Times New Roman" w:hAnsi="Times New Roman" w:cs="Times New Roman"/>
          <w:sz w:val="20"/>
        </w:rPr>
        <w:t>Python • Scikit-learn • FastAPI • Pytest • Google Colab • GitHub</w:t>
      </w:r>
    </w:p>
    <w:p w14:paraId="289AFF60">
      <w:pPr>
        <w:rPr>
          <w:rFonts w:hint="default" w:ascii="Times New Roman" w:hAnsi="Times New Roman" w:cs="Times New Roman"/>
        </w:rPr>
      </w:pPr>
    </w:p>
    <w:p w14:paraId="033320C8">
      <w:pPr>
        <w:jc w:val="center"/>
        <w:rPr>
          <w:rFonts w:hint="default" w:ascii="Times New Roman" w:hAnsi="Times New Roman" w:cs="Times New Roman"/>
          <w:lang w:val="en-IN"/>
        </w:rPr>
      </w:pPr>
      <w:r>
        <w:rPr>
          <w:rFonts w:hint="default" w:ascii="Times New Roman" w:hAnsi="Times New Roman" w:cs="Times New Roman"/>
          <w:lang w:val="en-IN"/>
        </w:rPr>
        <w:t>Submitted by:</w:t>
      </w:r>
    </w:p>
    <w:p w14:paraId="7B7FE38A">
      <w:pPr>
        <w:jc w:val="center"/>
        <w:rPr>
          <w:rFonts w:hint="default" w:ascii="Times New Roman" w:hAnsi="Times New Roman" w:cs="Times New Roman"/>
          <w:lang w:val="en-IN"/>
        </w:rPr>
      </w:pPr>
      <w:r>
        <w:rPr>
          <w:rFonts w:hint="default" w:ascii="Times New Roman" w:hAnsi="Times New Roman" w:cs="Times New Roman"/>
          <w:lang w:val="en-IN"/>
        </w:rPr>
        <w:t xml:space="preserve"> ALEENA ROY ,2025em1100479</w:t>
      </w:r>
    </w:p>
    <w:p w14:paraId="62B8BE51">
      <w:pPr>
        <w:rPr>
          <w:rFonts w:hint="default" w:ascii="Times New Roman" w:hAnsi="Times New Roman" w:cs="Times New Roman"/>
        </w:rPr>
      </w:pPr>
      <w:r>
        <w:rPr>
          <w:rFonts w:hint="default" w:ascii="Times New Roman" w:hAnsi="Times New Roman" w:cs="Times New Roman"/>
        </w:rPr>
        <w:br w:type="page"/>
      </w:r>
    </w:p>
    <w:p w14:paraId="1BC6F531">
      <w:pPr>
        <w:pStyle w:val="2"/>
        <w:rPr>
          <w:rFonts w:hint="default" w:ascii="Times New Roman" w:hAnsi="Times New Roman" w:cs="Times New Roman"/>
        </w:rPr>
      </w:pPr>
      <w:r>
        <w:rPr>
          <w:rFonts w:hint="default" w:ascii="Times New Roman" w:hAnsi="Times New Roman" w:cs="Times New Roman"/>
        </w:rPr>
        <w:t>1. Problem Definition and Objectives</w:t>
      </w:r>
    </w:p>
    <w:p w14:paraId="2B2DC74F">
      <w:pPr>
        <w:rPr>
          <w:rFonts w:hint="default" w:ascii="Times New Roman" w:hAnsi="Times New Roman" w:cs="Times New Roman"/>
        </w:rPr>
      </w:pPr>
      <w:r>
        <w:rPr>
          <w:rFonts w:hint="default" w:ascii="Times New Roman" w:hAnsi="Times New Roman" w:cs="Times New Roman"/>
        </w:rPr>
        <w:t>This project implements a mini production-oriented machine learning system for predicting customer churn. The use case is binary classification: for each customer, the system predicts whether the customer is likely to leave the telecom service. The objective is not to achieve state-of-the-art predictive accuracy, but to demonstrate a reproducible ML lifecycle that can move from raw data to an evaluated model, online inference, monitoring and a defined retraining policy.</w:t>
      </w:r>
    </w:p>
    <w:p w14:paraId="3FBDE3C0">
      <w:pPr>
        <w:rPr>
          <w:rFonts w:hint="default" w:ascii="Times New Roman" w:hAnsi="Times New Roman" w:cs="Times New Roman"/>
        </w:rPr>
      </w:pPr>
      <w:r>
        <w:rPr>
          <w:rFonts w:hint="default" w:ascii="Times New Roman" w:hAnsi="Times New Roman" w:cs="Times New Roman"/>
        </w:rPr>
        <w:t>The prediction can support a customer-service or retention workflow. A human or application can submit a customer's current account and service information and receive a churn prediction and probability. Because an individual prediction may be required while a customer interaction is taking place, the chosen serving pattern is online request-response inference.</w:t>
      </w:r>
    </w:p>
    <w:p w14:paraId="10FA9F9C">
      <w:pPr>
        <w:rPr>
          <w:rFonts w:hint="default" w:ascii="Times New Roman" w:hAnsi="Times New Roman" w:cs="Times New Roman"/>
        </w:rPr>
      </w:pPr>
      <w:r>
        <w:rPr>
          <w:rFonts w:hint="default" w:ascii="Times New Roman" w:hAnsi="Times New Roman" w:cs="Times New Roman"/>
        </w:rPr>
        <w:t>ROC-AUC is the primary model-selection metric because it measures how well the model separates churners from non-churners across classification thresholds. Accuracy, precision, recall and F1-score are also reported. Recall is particularly useful operationally because missing a customer who is likely to churn could mean losing an opportunity for retention, while precision helps control the number of customers flagged for intervention.</w:t>
      </w:r>
    </w:p>
    <w:p w14:paraId="1183CACA">
      <w:pPr>
        <w:pStyle w:val="2"/>
        <w:rPr>
          <w:rFonts w:hint="default" w:ascii="Times New Roman" w:hAnsi="Times New Roman" w:cs="Times New Roman"/>
        </w:rPr>
      </w:pPr>
      <w:r>
        <w:rPr>
          <w:rFonts w:hint="default" w:ascii="Times New Roman" w:hAnsi="Times New Roman" w:cs="Times New Roman"/>
        </w:rPr>
        <w:t>2. Data and Feature Design</w:t>
      </w:r>
    </w:p>
    <w:p w14:paraId="5D61BB58">
      <w:pPr>
        <w:rPr>
          <w:rFonts w:hint="default" w:ascii="Times New Roman" w:hAnsi="Times New Roman" w:cs="Times New Roman"/>
        </w:rPr>
      </w:pPr>
      <w:r>
        <w:rPr>
          <w:rFonts w:hint="default" w:ascii="Times New Roman" w:hAnsi="Times New Roman" w:cs="Times New Roman"/>
        </w:rPr>
        <w:t>The system uses a publicly available Telco Customer Churn dataset containing customer demographics, service subscriptions, account information, billing information and a churn label. The target variable is Churn, encoded as 0 for No and 1 for Yes. Important raw attributes include tenure, contract type, internet service, payment method, monthly charges and total charges.</w:t>
      </w:r>
    </w:p>
    <w:p w14:paraId="7D34679C">
      <w:pPr>
        <w:rPr>
          <w:rFonts w:hint="default" w:ascii="Times New Roman" w:hAnsi="Times New Roman" w:cs="Times New Roman"/>
        </w:rPr>
      </w:pPr>
      <w:r>
        <w:rPr>
          <w:rFonts w:hint="default" w:ascii="Times New Roman" w:hAnsi="Times New Roman" w:cs="Times New Roman"/>
        </w:rPr>
        <w:t>The data-cleaning stage handles numeric conversion and invalid/missing values before training. The pipeline also checks for duplicates, missing values and invalid ranges. Customer ID is retained for identification but excluded from model features because it is an identifier rather than a meaningful predictive variable.</w:t>
      </w:r>
    </w:p>
    <w:p w14:paraId="6FDF2809">
      <w:pPr>
        <w:pStyle w:val="3"/>
        <w:rPr>
          <w:rFonts w:hint="default" w:ascii="Times New Roman" w:hAnsi="Times New Roman" w:cs="Times New Roman"/>
        </w:rPr>
      </w:pPr>
      <w:r>
        <w:rPr>
          <w:rFonts w:hint="default" w:ascii="Times New Roman" w:hAnsi="Times New Roman" w:cs="Times New Roman"/>
        </w:rPr>
        <w:t>Engineered features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3F908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45FC9A3E">
            <w:pPr>
              <w:spacing w:after="0" w:line="240" w:lineRule="auto"/>
              <w:rPr>
                <w:rFonts w:hint="default" w:ascii="Times New Roman" w:hAnsi="Times New Roman" w:cs="Times New Roman"/>
              </w:rPr>
            </w:pPr>
            <w:r>
              <w:rPr>
                <w:rFonts w:hint="default" w:ascii="Times New Roman" w:hAnsi="Times New Roman" w:cs="Times New Roman"/>
              </w:rPr>
              <w:t>Feature</w:t>
            </w:r>
          </w:p>
        </w:tc>
        <w:tc>
          <w:tcPr>
            <w:tcW w:w="4968" w:type="dxa"/>
          </w:tcPr>
          <w:p w14:paraId="6ABF1A72">
            <w:pPr>
              <w:spacing w:after="0" w:line="240" w:lineRule="auto"/>
              <w:rPr>
                <w:rFonts w:hint="default" w:ascii="Times New Roman" w:hAnsi="Times New Roman" w:cs="Times New Roman"/>
              </w:rPr>
            </w:pPr>
            <w:r>
              <w:rPr>
                <w:rFonts w:hint="default" w:ascii="Times New Roman" w:hAnsi="Times New Roman" w:cs="Times New Roman"/>
              </w:rPr>
              <w:t>Purpose</w:t>
            </w:r>
          </w:p>
        </w:tc>
      </w:tr>
      <w:tr w14:paraId="0D186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4980C28C">
            <w:pPr>
              <w:spacing w:after="0" w:line="240" w:lineRule="auto"/>
              <w:rPr>
                <w:rFonts w:hint="default" w:ascii="Times New Roman" w:hAnsi="Times New Roman" w:cs="Times New Roman"/>
              </w:rPr>
            </w:pPr>
            <w:r>
              <w:rPr>
                <w:rFonts w:hint="default" w:ascii="Times New Roman" w:hAnsi="Times New Roman" w:cs="Times New Roman"/>
              </w:rPr>
              <w:t>AverageMonthlySpend</w:t>
            </w:r>
          </w:p>
        </w:tc>
        <w:tc>
          <w:tcPr>
            <w:tcW w:w="4968" w:type="dxa"/>
          </w:tcPr>
          <w:p w14:paraId="45BB24F1">
            <w:pPr>
              <w:spacing w:after="0" w:line="240" w:lineRule="auto"/>
              <w:rPr>
                <w:rFonts w:hint="default" w:ascii="Times New Roman" w:hAnsi="Times New Roman" w:cs="Times New Roman"/>
              </w:rPr>
            </w:pPr>
            <w:r>
              <w:rPr>
                <w:rFonts w:hint="default" w:ascii="Times New Roman" w:hAnsi="Times New Roman" w:cs="Times New Roman"/>
              </w:rPr>
              <w:t>Total charges divided by tenure, with safeguards for zero tenure.</w:t>
            </w:r>
          </w:p>
        </w:tc>
      </w:tr>
      <w:tr w14:paraId="0B97E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A1F3C67">
            <w:pPr>
              <w:spacing w:after="0" w:line="240" w:lineRule="auto"/>
              <w:rPr>
                <w:rFonts w:hint="default" w:ascii="Times New Roman" w:hAnsi="Times New Roman" w:cs="Times New Roman"/>
              </w:rPr>
            </w:pPr>
            <w:r>
              <w:rPr>
                <w:rFonts w:hint="default" w:ascii="Times New Roman" w:hAnsi="Times New Roman" w:cs="Times New Roman"/>
              </w:rPr>
              <w:t>ServiceCount</w:t>
            </w:r>
          </w:p>
        </w:tc>
        <w:tc>
          <w:tcPr>
            <w:tcW w:w="4968" w:type="dxa"/>
          </w:tcPr>
          <w:p w14:paraId="6C4B7A2D">
            <w:pPr>
              <w:spacing w:after="0" w:line="240" w:lineRule="auto"/>
              <w:rPr>
                <w:rFonts w:hint="default" w:ascii="Times New Roman" w:hAnsi="Times New Roman" w:cs="Times New Roman"/>
              </w:rPr>
            </w:pPr>
            <w:r>
              <w:rPr>
                <w:rFonts w:hint="default" w:ascii="Times New Roman" w:hAnsi="Times New Roman" w:cs="Times New Roman"/>
              </w:rPr>
              <w:t>Count of subscribed optional services such as security, backup, protection, support and streaming.</w:t>
            </w:r>
          </w:p>
        </w:tc>
      </w:tr>
      <w:tr w14:paraId="6814E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45C6A9ED">
            <w:pPr>
              <w:spacing w:after="0" w:line="240" w:lineRule="auto"/>
              <w:rPr>
                <w:rFonts w:hint="default" w:ascii="Times New Roman" w:hAnsi="Times New Roman" w:cs="Times New Roman"/>
              </w:rPr>
            </w:pPr>
            <w:r>
              <w:rPr>
                <w:rFonts w:hint="default" w:ascii="Times New Roman" w:hAnsi="Times New Roman" w:cs="Times New Roman"/>
              </w:rPr>
              <w:t>IsMonthToMonth</w:t>
            </w:r>
          </w:p>
        </w:tc>
        <w:tc>
          <w:tcPr>
            <w:tcW w:w="4968" w:type="dxa"/>
          </w:tcPr>
          <w:p w14:paraId="6E84F77B">
            <w:pPr>
              <w:spacing w:after="0" w:line="240" w:lineRule="auto"/>
              <w:rPr>
                <w:rFonts w:hint="default" w:ascii="Times New Roman" w:hAnsi="Times New Roman" w:cs="Times New Roman"/>
              </w:rPr>
            </w:pPr>
            <w:r>
              <w:rPr>
                <w:rFonts w:hint="default" w:ascii="Times New Roman" w:hAnsi="Times New Roman" w:cs="Times New Roman"/>
              </w:rPr>
              <w:t>Binary indicator for month-to-month contracts, which can capture lower commitment.</w:t>
            </w:r>
          </w:p>
        </w:tc>
      </w:tr>
      <w:tr w14:paraId="6B0A7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3FFA724">
            <w:pPr>
              <w:spacing w:after="0" w:line="240" w:lineRule="auto"/>
              <w:rPr>
                <w:rFonts w:hint="default" w:ascii="Times New Roman" w:hAnsi="Times New Roman" w:cs="Times New Roman"/>
              </w:rPr>
            </w:pPr>
            <w:r>
              <w:rPr>
                <w:rFonts w:hint="default" w:ascii="Times New Roman" w:hAnsi="Times New Roman" w:cs="Times New Roman"/>
              </w:rPr>
              <w:t>HasOnlineSecurity</w:t>
            </w:r>
          </w:p>
        </w:tc>
        <w:tc>
          <w:tcPr>
            <w:tcW w:w="4968" w:type="dxa"/>
          </w:tcPr>
          <w:p w14:paraId="43371172">
            <w:pPr>
              <w:spacing w:after="0" w:line="240" w:lineRule="auto"/>
              <w:rPr>
                <w:rFonts w:hint="default" w:ascii="Times New Roman" w:hAnsi="Times New Roman" w:cs="Times New Roman"/>
              </w:rPr>
            </w:pPr>
            <w:r>
              <w:rPr>
                <w:rFonts w:hint="default" w:ascii="Times New Roman" w:hAnsi="Times New Roman" w:cs="Times New Roman"/>
              </w:rPr>
              <w:t>Binary representation of whether online security is subscribed.</w:t>
            </w:r>
          </w:p>
        </w:tc>
      </w:tr>
      <w:tr w14:paraId="3A8CA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CADE417">
            <w:pPr>
              <w:spacing w:after="0" w:line="240" w:lineRule="auto"/>
              <w:rPr>
                <w:rFonts w:hint="default" w:ascii="Times New Roman" w:hAnsi="Times New Roman" w:cs="Times New Roman"/>
              </w:rPr>
            </w:pPr>
            <w:r>
              <w:rPr>
                <w:rFonts w:hint="default" w:ascii="Times New Roman" w:hAnsi="Times New Roman" w:cs="Times New Roman"/>
              </w:rPr>
              <w:t>HasTechSupport</w:t>
            </w:r>
          </w:p>
        </w:tc>
        <w:tc>
          <w:tcPr>
            <w:tcW w:w="4968" w:type="dxa"/>
          </w:tcPr>
          <w:p w14:paraId="24C74C0C">
            <w:pPr>
              <w:spacing w:after="0" w:line="240" w:lineRule="auto"/>
              <w:rPr>
                <w:rFonts w:hint="default" w:ascii="Times New Roman" w:hAnsi="Times New Roman" w:cs="Times New Roman"/>
              </w:rPr>
            </w:pPr>
            <w:r>
              <w:rPr>
                <w:rFonts w:hint="default" w:ascii="Times New Roman" w:hAnsi="Times New Roman" w:cs="Times New Roman"/>
              </w:rPr>
              <w:t>Binary representation of whether technical support is subscribed.</w:t>
            </w:r>
          </w:p>
        </w:tc>
      </w:tr>
      <w:tr w14:paraId="0C229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07484C6">
            <w:pPr>
              <w:spacing w:after="0" w:line="240" w:lineRule="auto"/>
              <w:rPr>
                <w:rFonts w:hint="default" w:ascii="Times New Roman" w:hAnsi="Times New Roman" w:cs="Times New Roman"/>
              </w:rPr>
            </w:pPr>
            <w:r>
              <w:rPr>
                <w:rFonts w:hint="default" w:ascii="Times New Roman" w:hAnsi="Times New Roman" w:cs="Times New Roman"/>
              </w:rPr>
              <w:t>IsHighMonthlyCharge</w:t>
            </w:r>
          </w:p>
        </w:tc>
        <w:tc>
          <w:tcPr>
            <w:tcW w:w="4968" w:type="dxa"/>
          </w:tcPr>
          <w:p w14:paraId="626A64CB">
            <w:pPr>
              <w:spacing w:after="0" w:line="240" w:lineRule="auto"/>
              <w:rPr>
                <w:rFonts w:hint="default" w:ascii="Times New Roman" w:hAnsi="Times New Roman" w:cs="Times New Roman"/>
              </w:rPr>
            </w:pPr>
            <w:r>
              <w:rPr>
                <w:rFonts w:hint="default" w:ascii="Times New Roman" w:hAnsi="Times New Roman" w:cs="Times New Roman"/>
              </w:rPr>
              <w:t>Indicator for customers above a defined monthly-charge level.</w:t>
            </w:r>
          </w:p>
        </w:tc>
      </w:tr>
      <w:tr w14:paraId="78145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9920FE9">
            <w:pPr>
              <w:spacing w:after="0" w:line="240" w:lineRule="auto"/>
              <w:rPr>
                <w:rFonts w:hint="default" w:ascii="Times New Roman" w:hAnsi="Times New Roman" w:cs="Times New Roman"/>
              </w:rPr>
            </w:pPr>
            <w:r>
              <w:rPr>
                <w:rFonts w:hint="default" w:ascii="Times New Roman" w:hAnsi="Times New Roman" w:cs="Times New Roman"/>
              </w:rPr>
              <w:t>TenureGroup</w:t>
            </w:r>
          </w:p>
        </w:tc>
        <w:tc>
          <w:tcPr>
            <w:tcW w:w="4968" w:type="dxa"/>
          </w:tcPr>
          <w:p w14:paraId="01DE8BB9">
            <w:pPr>
              <w:spacing w:after="0" w:line="240" w:lineRule="auto"/>
              <w:rPr>
                <w:rFonts w:hint="default" w:ascii="Times New Roman" w:hAnsi="Times New Roman" w:cs="Times New Roman"/>
              </w:rPr>
            </w:pPr>
            <w:r>
              <w:rPr>
                <w:rFonts w:hint="default" w:ascii="Times New Roman" w:hAnsi="Times New Roman" w:cs="Times New Roman"/>
              </w:rPr>
              <w:t>Categorical grouping of tenure into customer-lifecycle bands.</w:t>
            </w:r>
          </w:p>
        </w:tc>
      </w:tr>
    </w:tbl>
    <w:p w14:paraId="2EFB7323">
      <w:pPr>
        <w:rPr>
          <w:rFonts w:hint="default" w:ascii="Times New Roman" w:hAnsi="Times New Roman" w:cs="Times New Roman"/>
        </w:rPr>
      </w:pPr>
      <w:r>
        <w:rPr>
          <w:rFonts w:hint="default" w:ascii="Times New Roman" w:hAnsi="Times New Roman" w:cs="Times New Roman"/>
        </w:rPr>
        <w:t>Most engineered features are derived offline during training from the same raw fields that are available to the API. The preprocessing pipeline is shared conceptually between offline training and online serving, including imputation, scaling and categorical encoding. This reduces training-serving skew: the model does not depend on a separately implemented set of feature rules in production. In a larger production system, the same feature definitions could be placed in a feature table or feature store and reused by both training and serving.</w:t>
      </w:r>
    </w:p>
    <w:p w14:paraId="2B0FED73">
      <w:pPr>
        <w:pStyle w:val="2"/>
        <w:rPr>
          <w:rFonts w:hint="default" w:ascii="Times New Roman" w:hAnsi="Times New Roman" w:cs="Times New Roman"/>
        </w:rPr>
      </w:pPr>
      <w:r>
        <w:rPr>
          <w:rFonts w:hint="default" w:ascii="Times New Roman" w:hAnsi="Times New Roman" w:cs="Times New Roman"/>
        </w:rPr>
        <w:t>3. Data Pipeline and Ingestion</w:t>
      </w:r>
    </w:p>
    <w:p w14:paraId="09FFEBA0">
      <w:pPr>
        <w:rPr>
          <w:rFonts w:hint="default" w:ascii="Times New Roman" w:hAnsi="Times New Roman" w:cs="Times New Roman"/>
        </w:rPr>
      </w:pPr>
      <w:r>
        <w:rPr>
          <w:rFonts w:hint="default" w:ascii="Times New Roman" w:hAnsi="Times New Roman" w:cs="Times New Roman"/>
        </w:rPr>
        <w:t>A simple batch ingestion pattern is used. New data files can represent daily or periodic customer records. The ingestion script reads a new CSV batch, validates its structure, appends or merges it into the processed training-data file, and records what was ingested. The design intentionally uses batch ingestion because customer churn data does not require millisecond-level event processing for this coursework system.</w:t>
      </w:r>
    </w:p>
    <w:p w14:paraId="05FDB55B">
      <w:pPr>
        <w:rPr>
          <w:rFonts w:hint="default" w:ascii="Times New Roman" w:hAnsi="Times New Roman" w:cs="Times New Roman"/>
        </w:rPr>
      </w:pPr>
      <w:r>
        <w:rPr>
          <w:rFonts w:hint="default" w:ascii="Times New Roman" w:hAnsi="Times New Roman" w:cs="Times New Roman"/>
        </w:rPr>
        <w:t>A production version would validate schema before accepting the batch, record batch date and row count, reject incompatible files, and maintain immutable raw data. The current system demonstrates the core control point by performing data-quality checks before data is trusted for model development or retraining.</w:t>
      </w:r>
    </w:p>
    <w:p w14:paraId="7089EC3C">
      <w:pPr>
        <w:pStyle w:val="2"/>
        <w:rPr>
          <w:rFonts w:hint="default" w:ascii="Times New Roman" w:hAnsi="Times New Roman" w:cs="Times New Roman"/>
        </w:rPr>
      </w:pPr>
      <w:r>
        <w:rPr>
          <w:rFonts w:hint="default" w:ascii="Times New Roman" w:hAnsi="Times New Roman" w:cs="Times New Roman"/>
        </w:rPr>
        <w:t>4. Model Training and Offline Evaluation</w:t>
      </w:r>
    </w:p>
    <w:p w14:paraId="5333A96C">
      <w:pPr>
        <w:rPr>
          <w:rFonts w:hint="default" w:ascii="Times New Roman" w:hAnsi="Times New Roman" w:cs="Times New Roman"/>
        </w:rPr>
      </w:pPr>
      <w:r>
        <w:rPr>
          <w:rFonts w:hint="default" w:ascii="Times New Roman" w:hAnsi="Times New Roman" w:cs="Times New Roman"/>
        </w:rPr>
        <w:t>The training workflow is implemented as a repeatable Python pipeline in training/train.py. It loads the cleaned dataset, constructs features, performs a stratified train/validation/test split, fits preprocessing and models, evaluates the models, applies a promotion rule, evaluates the selected model on the held-out test set and saves the model and evaluation report.</w:t>
      </w:r>
    </w:p>
    <w:p w14:paraId="3363092A">
      <w:pPr>
        <w:rPr>
          <w:rFonts w:hint="default" w:ascii="Times New Roman" w:hAnsi="Times New Roman" w:cs="Times New Roman"/>
        </w:rPr>
      </w:pPr>
      <w:r>
        <w:rPr>
          <w:rFonts w:hint="default" w:ascii="Times New Roman" w:hAnsi="Times New Roman" w:cs="Times New Roman"/>
        </w:rPr>
        <w:t>Two model versions were evaluated. Logistic Regression was selected as the baseline because it is simple, fast and interpretable. Random Forest was evaluated as a more flexible candidate capable of modelling nonlinear relationships and feature interactions.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656"/>
        <w:gridCol w:w="1656"/>
        <w:gridCol w:w="1656"/>
        <w:gridCol w:w="1656"/>
        <w:gridCol w:w="1656"/>
      </w:tblGrid>
      <w:tr w14:paraId="11926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Pr>
          <w:p w14:paraId="1C9089CC">
            <w:pPr>
              <w:spacing w:after="0" w:line="240" w:lineRule="auto"/>
              <w:rPr>
                <w:rFonts w:hint="default" w:ascii="Times New Roman" w:hAnsi="Times New Roman" w:cs="Times New Roman"/>
              </w:rPr>
            </w:pPr>
            <w:r>
              <w:rPr>
                <w:rFonts w:hint="default" w:ascii="Times New Roman" w:hAnsi="Times New Roman" w:cs="Times New Roman"/>
              </w:rPr>
              <w:t>Model</w:t>
            </w:r>
          </w:p>
        </w:tc>
        <w:tc>
          <w:tcPr>
            <w:tcW w:w="1656" w:type="dxa"/>
          </w:tcPr>
          <w:p w14:paraId="1B1CDF04">
            <w:pPr>
              <w:spacing w:after="0" w:line="240" w:lineRule="auto"/>
              <w:rPr>
                <w:rFonts w:hint="default" w:ascii="Times New Roman" w:hAnsi="Times New Roman" w:cs="Times New Roman"/>
              </w:rPr>
            </w:pPr>
            <w:r>
              <w:rPr>
                <w:rFonts w:hint="default" w:ascii="Times New Roman" w:hAnsi="Times New Roman" w:cs="Times New Roman"/>
              </w:rPr>
              <w:t>Accuracy</w:t>
            </w:r>
          </w:p>
        </w:tc>
        <w:tc>
          <w:tcPr>
            <w:tcW w:w="1656" w:type="dxa"/>
          </w:tcPr>
          <w:p w14:paraId="78551E4A">
            <w:pPr>
              <w:spacing w:after="0" w:line="240" w:lineRule="auto"/>
              <w:rPr>
                <w:rFonts w:hint="default" w:ascii="Times New Roman" w:hAnsi="Times New Roman" w:cs="Times New Roman"/>
              </w:rPr>
            </w:pPr>
            <w:r>
              <w:rPr>
                <w:rFonts w:hint="default" w:ascii="Times New Roman" w:hAnsi="Times New Roman" w:cs="Times New Roman"/>
              </w:rPr>
              <w:t>Precision</w:t>
            </w:r>
          </w:p>
        </w:tc>
        <w:tc>
          <w:tcPr>
            <w:tcW w:w="1656" w:type="dxa"/>
          </w:tcPr>
          <w:p w14:paraId="07E98828">
            <w:pPr>
              <w:spacing w:after="0" w:line="240" w:lineRule="auto"/>
              <w:rPr>
                <w:rFonts w:hint="default" w:ascii="Times New Roman" w:hAnsi="Times New Roman" w:cs="Times New Roman"/>
              </w:rPr>
            </w:pPr>
            <w:r>
              <w:rPr>
                <w:rFonts w:hint="default" w:ascii="Times New Roman" w:hAnsi="Times New Roman" w:cs="Times New Roman"/>
              </w:rPr>
              <w:t>Recall</w:t>
            </w:r>
          </w:p>
        </w:tc>
        <w:tc>
          <w:tcPr>
            <w:tcW w:w="1656" w:type="dxa"/>
          </w:tcPr>
          <w:p w14:paraId="292BFE7A">
            <w:pPr>
              <w:spacing w:after="0" w:line="240" w:lineRule="auto"/>
              <w:rPr>
                <w:rFonts w:hint="default" w:ascii="Times New Roman" w:hAnsi="Times New Roman" w:cs="Times New Roman"/>
              </w:rPr>
            </w:pPr>
            <w:r>
              <w:rPr>
                <w:rFonts w:hint="default" w:ascii="Times New Roman" w:hAnsi="Times New Roman" w:cs="Times New Roman"/>
              </w:rPr>
              <w:t>F1</w:t>
            </w:r>
          </w:p>
        </w:tc>
        <w:tc>
          <w:tcPr>
            <w:tcW w:w="1656" w:type="dxa"/>
          </w:tcPr>
          <w:p w14:paraId="46C15B22">
            <w:pPr>
              <w:spacing w:after="0" w:line="240" w:lineRule="auto"/>
              <w:rPr>
                <w:rFonts w:hint="default" w:ascii="Times New Roman" w:hAnsi="Times New Roman" w:cs="Times New Roman"/>
              </w:rPr>
            </w:pPr>
            <w:r>
              <w:rPr>
                <w:rFonts w:hint="default" w:ascii="Times New Roman" w:hAnsi="Times New Roman" w:cs="Times New Roman"/>
              </w:rPr>
              <w:t>ROC-AUC</w:t>
            </w:r>
          </w:p>
        </w:tc>
      </w:tr>
      <w:tr w14:paraId="2A8FE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Pr>
          <w:p w14:paraId="63D86561">
            <w:pPr>
              <w:spacing w:after="0" w:line="240" w:lineRule="auto"/>
              <w:rPr>
                <w:rFonts w:hint="default" w:ascii="Times New Roman" w:hAnsi="Times New Roman" w:cs="Times New Roman"/>
              </w:rPr>
            </w:pPr>
            <w:r>
              <w:rPr>
                <w:rFonts w:hint="default" w:ascii="Times New Roman" w:hAnsi="Times New Roman" w:cs="Times New Roman"/>
              </w:rPr>
              <w:t>Logistic Regression</w:t>
            </w:r>
          </w:p>
        </w:tc>
        <w:tc>
          <w:tcPr>
            <w:tcW w:w="1656" w:type="dxa"/>
          </w:tcPr>
          <w:p w14:paraId="6D5572A2">
            <w:pPr>
              <w:spacing w:after="0" w:line="240" w:lineRule="auto"/>
              <w:rPr>
                <w:rFonts w:hint="default" w:ascii="Times New Roman" w:hAnsi="Times New Roman" w:cs="Times New Roman"/>
              </w:rPr>
            </w:pPr>
            <w:r>
              <w:rPr>
                <w:rFonts w:hint="default" w:ascii="Times New Roman" w:hAnsi="Times New Roman" w:cs="Times New Roman"/>
              </w:rPr>
              <w:t>0.8097</w:t>
            </w:r>
          </w:p>
        </w:tc>
        <w:tc>
          <w:tcPr>
            <w:tcW w:w="1656" w:type="dxa"/>
          </w:tcPr>
          <w:p w14:paraId="456370C2">
            <w:pPr>
              <w:spacing w:after="0" w:line="240" w:lineRule="auto"/>
              <w:rPr>
                <w:rFonts w:hint="default" w:ascii="Times New Roman" w:hAnsi="Times New Roman" w:cs="Times New Roman"/>
              </w:rPr>
            </w:pPr>
            <w:r>
              <w:rPr>
                <w:rFonts w:hint="default" w:ascii="Times New Roman" w:hAnsi="Times New Roman" w:cs="Times New Roman"/>
              </w:rPr>
              <w:t>0.6639</w:t>
            </w:r>
          </w:p>
        </w:tc>
        <w:tc>
          <w:tcPr>
            <w:tcW w:w="1656" w:type="dxa"/>
          </w:tcPr>
          <w:p w14:paraId="009A535F">
            <w:pPr>
              <w:spacing w:after="0" w:line="240" w:lineRule="auto"/>
              <w:rPr>
                <w:rFonts w:hint="default" w:ascii="Times New Roman" w:hAnsi="Times New Roman" w:cs="Times New Roman"/>
              </w:rPr>
            </w:pPr>
            <w:r>
              <w:rPr>
                <w:rFonts w:hint="default" w:ascii="Times New Roman" w:hAnsi="Times New Roman" w:cs="Times New Roman"/>
              </w:rPr>
              <w:t>0.5714</w:t>
            </w:r>
          </w:p>
        </w:tc>
        <w:tc>
          <w:tcPr>
            <w:tcW w:w="1656" w:type="dxa"/>
          </w:tcPr>
          <w:p w14:paraId="5FDE2C18">
            <w:pPr>
              <w:spacing w:after="0" w:line="240" w:lineRule="auto"/>
              <w:rPr>
                <w:rFonts w:hint="default" w:ascii="Times New Roman" w:hAnsi="Times New Roman" w:cs="Times New Roman"/>
              </w:rPr>
            </w:pPr>
            <w:r>
              <w:rPr>
                <w:rFonts w:hint="default" w:ascii="Times New Roman" w:hAnsi="Times New Roman" w:cs="Times New Roman"/>
              </w:rPr>
              <w:t>0.6142</w:t>
            </w:r>
          </w:p>
        </w:tc>
        <w:tc>
          <w:tcPr>
            <w:tcW w:w="1656" w:type="dxa"/>
          </w:tcPr>
          <w:p w14:paraId="5CDAD9B7">
            <w:pPr>
              <w:spacing w:after="0" w:line="240" w:lineRule="auto"/>
              <w:rPr>
                <w:rFonts w:hint="default" w:ascii="Times New Roman" w:hAnsi="Times New Roman" w:cs="Times New Roman"/>
              </w:rPr>
            </w:pPr>
            <w:r>
              <w:rPr>
                <w:rFonts w:hint="default" w:ascii="Times New Roman" w:hAnsi="Times New Roman" w:cs="Times New Roman"/>
              </w:rPr>
              <w:t>0.8509</w:t>
            </w:r>
          </w:p>
        </w:tc>
      </w:tr>
      <w:tr w14:paraId="1660F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Pr>
          <w:p w14:paraId="74F6B631">
            <w:pPr>
              <w:spacing w:after="0" w:line="240" w:lineRule="auto"/>
              <w:rPr>
                <w:rFonts w:hint="default" w:ascii="Times New Roman" w:hAnsi="Times New Roman" w:cs="Times New Roman"/>
              </w:rPr>
            </w:pPr>
            <w:r>
              <w:rPr>
                <w:rFonts w:hint="default" w:ascii="Times New Roman" w:hAnsi="Times New Roman" w:cs="Times New Roman"/>
              </w:rPr>
              <w:t>Random Forest</w:t>
            </w:r>
          </w:p>
        </w:tc>
        <w:tc>
          <w:tcPr>
            <w:tcW w:w="1656" w:type="dxa"/>
          </w:tcPr>
          <w:p w14:paraId="17D9FAE9">
            <w:pPr>
              <w:spacing w:after="0" w:line="240" w:lineRule="auto"/>
              <w:rPr>
                <w:rFonts w:hint="default" w:ascii="Times New Roman" w:hAnsi="Times New Roman" w:cs="Times New Roman"/>
              </w:rPr>
            </w:pPr>
            <w:r>
              <w:rPr>
                <w:rFonts w:hint="default" w:ascii="Times New Roman" w:hAnsi="Times New Roman" w:cs="Times New Roman"/>
              </w:rPr>
              <w:t>0.7680</w:t>
            </w:r>
          </w:p>
        </w:tc>
        <w:tc>
          <w:tcPr>
            <w:tcW w:w="1656" w:type="dxa"/>
          </w:tcPr>
          <w:p w14:paraId="73E7F5DF">
            <w:pPr>
              <w:spacing w:after="0" w:line="240" w:lineRule="auto"/>
              <w:rPr>
                <w:rFonts w:hint="default" w:ascii="Times New Roman" w:hAnsi="Times New Roman" w:cs="Times New Roman"/>
              </w:rPr>
            </w:pPr>
            <w:r>
              <w:rPr>
                <w:rFonts w:hint="default" w:ascii="Times New Roman" w:hAnsi="Times New Roman" w:cs="Times New Roman"/>
              </w:rPr>
              <w:t>0.5457</w:t>
            </w:r>
          </w:p>
        </w:tc>
        <w:tc>
          <w:tcPr>
            <w:tcW w:w="1656" w:type="dxa"/>
          </w:tcPr>
          <w:p w14:paraId="60C2A8BA">
            <w:pPr>
              <w:spacing w:after="0" w:line="240" w:lineRule="auto"/>
              <w:rPr>
                <w:rFonts w:hint="default" w:ascii="Times New Roman" w:hAnsi="Times New Roman" w:cs="Times New Roman"/>
              </w:rPr>
            </w:pPr>
            <w:r>
              <w:rPr>
                <w:rFonts w:hint="default" w:ascii="Times New Roman" w:hAnsi="Times New Roman" w:cs="Times New Roman"/>
              </w:rPr>
              <w:t>0.7464</w:t>
            </w:r>
          </w:p>
        </w:tc>
        <w:tc>
          <w:tcPr>
            <w:tcW w:w="1656" w:type="dxa"/>
          </w:tcPr>
          <w:p w14:paraId="26C11471">
            <w:pPr>
              <w:spacing w:after="0" w:line="240" w:lineRule="auto"/>
              <w:rPr>
                <w:rFonts w:hint="default" w:ascii="Times New Roman" w:hAnsi="Times New Roman" w:cs="Times New Roman"/>
              </w:rPr>
            </w:pPr>
            <w:r>
              <w:rPr>
                <w:rFonts w:hint="default" w:ascii="Times New Roman" w:hAnsi="Times New Roman" w:cs="Times New Roman"/>
              </w:rPr>
              <w:t>0.6305</w:t>
            </w:r>
          </w:p>
        </w:tc>
        <w:tc>
          <w:tcPr>
            <w:tcW w:w="1656" w:type="dxa"/>
          </w:tcPr>
          <w:p w14:paraId="7E45F534">
            <w:pPr>
              <w:spacing w:after="0" w:line="240" w:lineRule="auto"/>
              <w:rPr>
                <w:rFonts w:hint="default" w:ascii="Times New Roman" w:hAnsi="Times New Roman" w:cs="Times New Roman"/>
              </w:rPr>
            </w:pPr>
            <w:r>
              <w:rPr>
                <w:rFonts w:hint="default" w:ascii="Times New Roman" w:hAnsi="Times New Roman" w:cs="Times New Roman"/>
              </w:rPr>
              <w:t>0.8380</w:t>
            </w:r>
          </w:p>
        </w:tc>
      </w:tr>
    </w:tbl>
    <w:p w14:paraId="39A3A729">
      <w:pPr>
        <w:rPr>
          <w:rFonts w:hint="default" w:ascii="Times New Roman" w:hAnsi="Times New Roman" w:cs="Times New Roman"/>
        </w:rPr>
      </w:pPr>
      <w:r>
        <w:rPr>
          <w:rFonts w:hint="default" w:ascii="Times New Roman" w:hAnsi="Times New Roman" w:cs="Times New Roman"/>
        </w:rPr>
        <w:t>The promotion rule requires candidate ROC-AUC to be at least 0.80 and no more than 0.01 below the baseline. The Random Forest ROC-AUC of 0.8380 was 0.0129 below the baseline ROC-AUC of 0.8509, so it was not promoted. This demonstrates a deliberate production trade-off: a more complex candidate should not replace a simpler model when the primary metric does not justify the change.</w:t>
      </w:r>
    </w:p>
    <w:p w14:paraId="6C44FF96">
      <w:pPr>
        <w:rPr>
          <w:rFonts w:hint="default" w:ascii="Times New Roman" w:hAnsi="Times New Roman" w:cs="Times New Roman"/>
        </w:rPr>
      </w:pPr>
      <w:r>
        <w:rPr>
          <w:rFonts w:hint="default" w:ascii="Times New Roman" w:hAnsi="Times New Roman" w:cs="Times New Roman"/>
        </w:rPr>
        <w:t>The selected Logistic Regression model achieved the following held-out test results: accuracy 0.7985, precision 0.6650, recall 0.4875, F1-score 0.5626 and ROC-AUC 0.8464. The model and evaluation report are saved as versioned artifacts under models/ and artifacts/eval/.</w:t>
      </w:r>
    </w:p>
    <w:p w14:paraId="4D6E1C07">
      <w:pPr>
        <w:pStyle w:val="2"/>
        <w:rPr>
          <w:rFonts w:hint="default" w:ascii="Times New Roman" w:hAnsi="Times New Roman" w:cs="Times New Roman"/>
        </w:rPr>
      </w:pPr>
      <w:r>
        <w:rPr>
          <w:rFonts w:hint="default" w:ascii="Times New Roman" w:hAnsi="Times New Roman" w:cs="Times New Roman"/>
        </w:rPr>
        <w:t>5. Serving and Inference Pattern</w:t>
      </w:r>
    </w:p>
    <w:p w14:paraId="7A38A9F0">
      <w:pPr>
        <w:rPr>
          <w:rFonts w:hint="default" w:ascii="Times New Roman" w:hAnsi="Times New Roman" w:cs="Times New Roman"/>
        </w:rPr>
      </w:pPr>
      <w:r>
        <w:rPr>
          <w:rFonts w:hint="default" w:ascii="Times New Roman" w:hAnsi="Times New Roman" w:cs="Times New Roman"/>
        </w:rPr>
        <w:t>The selected model is exposed through a minimal FastAPI service. The main endpoint is POST /predict, which accepts customer fields as JSON and returns a churn prediction, churn probability and model version. A GET /health endpoint provides a simple service-health check.</w:t>
      </w:r>
    </w:p>
    <w:p w14:paraId="1F137BAA">
      <w:pPr>
        <w:rPr>
          <w:rFonts w:hint="default" w:ascii="Times New Roman" w:hAnsi="Times New Roman" w:cs="Times New Roman"/>
        </w:rPr>
      </w:pPr>
      <w:r>
        <w:rPr>
          <w:rFonts w:hint="default" w:ascii="Times New Roman" w:hAnsi="Times New Roman" w:cs="Times New Roman"/>
        </w:rPr>
        <w:t>Online request-response inference was chosen because a human-facing retention or customer-service application may require an immediate prediction for one customer. The expected latency for this mini system is low enough that a synchronous API is appropriate. A batch-only approach would be simpler for periodic campaigns but would not provide an immediate prediction during a customer interaction.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414D6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C4AA92B">
            <w:pPr>
              <w:spacing w:after="0" w:line="240" w:lineRule="auto"/>
              <w:rPr>
                <w:rFonts w:hint="default" w:ascii="Times New Roman" w:hAnsi="Times New Roman" w:cs="Times New Roman"/>
              </w:rPr>
            </w:pPr>
            <w:r>
              <w:rPr>
                <w:rFonts w:hint="default" w:ascii="Times New Roman" w:hAnsi="Times New Roman" w:cs="Times New Roman"/>
              </w:rPr>
              <w:t>API performance metric</w:t>
            </w:r>
          </w:p>
        </w:tc>
        <w:tc>
          <w:tcPr>
            <w:tcW w:w="4968" w:type="dxa"/>
          </w:tcPr>
          <w:p w14:paraId="50387E0C">
            <w:pPr>
              <w:spacing w:after="0" w:line="240" w:lineRule="auto"/>
              <w:rPr>
                <w:rFonts w:hint="default" w:ascii="Times New Roman" w:hAnsi="Times New Roman" w:cs="Times New Roman"/>
              </w:rPr>
            </w:pPr>
            <w:r>
              <w:rPr>
                <w:rFonts w:hint="default" w:ascii="Times New Roman" w:hAnsi="Times New Roman" w:cs="Times New Roman"/>
              </w:rPr>
              <w:t>Measured result</w:t>
            </w:r>
          </w:p>
        </w:tc>
      </w:tr>
      <w:tr w14:paraId="665CE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D1F837A">
            <w:pPr>
              <w:spacing w:after="0" w:line="240" w:lineRule="auto"/>
              <w:rPr>
                <w:rFonts w:hint="default" w:ascii="Times New Roman" w:hAnsi="Times New Roman" w:cs="Times New Roman"/>
              </w:rPr>
            </w:pPr>
            <w:r>
              <w:rPr>
                <w:rFonts w:hint="default" w:ascii="Times New Roman" w:hAnsi="Times New Roman" w:cs="Times New Roman"/>
              </w:rPr>
              <w:t>Requests</w:t>
            </w:r>
          </w:p>
        </w:tc>
        <w:tc>
          <w:tcPr>
            <w:tcW w:w="4968" w:type="dxa"/>
          </w:tcPr>
          <w:p w14:paraId="437D54F3">
            <w:pPr>
              <w:spacing w:after="0" w:line="240" w:lineRule="auto"/>
              <w:rPr>
                <w:rFonts w:hint="default" w:ascii="Times New Roman" w:hAnsi="Times New Roman" w:cs="Times New Roman"/>
              </w:rPr>
            </w:pPr>
            <w:r>
              <w:rPr>
                <w:rFonts w:hint="default" w:ascii="Times New Roman" w:hAnsi="Times New Roman" w:cs="Times New Roman"/>
              </w:rPr>
              <w:t>100 sequential requests</w:t>
            </w:r>
          </w:p>
        </w:tc>
      </w:tr>
      <w:tr w14:paraId="58DA6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F1C5647">
            <w:pPr>
              <w:spacing w:after="0" w:line="240" w:lineRule="auto"/>
              <w:rPr>
                <w:rFonts w:hint="default" w:ascii="Times New Roman" w:hAnsi="Times New Roman" w:cs="Times New Roman"/>
              </w:rPr>
            </w:pPr>
            <w:r>
              <w:rPr>
                <w:rFonts w:hint="default" w:ascii="Times New Roman" w:hAnsi="Times New Roman" w:cs="Times New Roman"/>
              </w:rPr>
              <w:t>Average latency</w:t>
            </w:r>
          </w:p>
        </w:tc>
        <w:tc>
          <w:tcPr>
            <w:tcW w:w="4968" w:type="dxa"/>
          </w:tcPr>
          <w:p w14:paraId="317638C9">
            <w:pPr>
              <w:spacing w:after="0" w:line="240" w:lineRule="auto"/>
              <w:rPr>
                <w:rFonts w:hint="default" w:ascii="Times New Roman" w:hAnsi="Times New Roman" w:cs="Times New Roman"/>
              </w:rPr>
            </w:pPr>
            <w:r>
              <w:rPr>
                <w:rFonts w:hint="default" w:ascii="Times New Roman" w:hAnsi="Times New Roman" w:cs="Times New Roman"/>
              </w:rPr>
              <w:t>47.53 ms</w:t>
            </w:r>
          </w:p>
        </w:tc>
      </w:tr>
      <w:tr w14:paraId="55D5C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459A712">
            <w:pPr>
              <w:spacing w:after="0" w:line="240" w:lineRule="auto"/>
              <w:rPr>
                <w:rFonts w:hint="default" w:ascii="Times New Roman" w:hAnsi="Times New Roman" w:cs="Times New Roman"/>
              </w:rPr>
            </w:pPr>
            <w:r>
              <w:rPr>
                <w:rFonts w:hint="default" w:ascii="Times New Roman" w:hAnsi="Times New Roman" w:cs="Times New Roman"/>
              </w:rPr>
              <w:t>P50 latency</w:t>
            </w:r>
          </w:p>
        </w:tc>
        <w:tc>
          <w:tcPr>
            <w:tcW w:w="4968" w:type="dxa"/>
          </w:tcPr>
          <w:p w14:paraId="73267585">
            <w:pPr>
              <w:spacing w:after="0" w:line="240" w:lineRule="auto"/>
              <w:rPr>
                <w:rFonts w:hint="default" w:ascii="Times New Roman" w:hAnsi="Times New Roman" w:cs="Times New Roman"/>
              </w:rPr>
            </w:pPr>
            <w:r>
              <w:rPr>
                <w:rFonts w:hint="default" w:ascii="Times New Roman" w:hAnsi="Times New Roman" w:cs="Times New Roman"/>
              </w:rPr>
              <w:t>46.89 ms</w:t>
            </w:r>
          </w:p>
        </w:tc>
      </w:tr>
      <w:tr w14:paraId="1BB0B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ACF675A">
            <w:pPr>
              <w:spacing w:after="0" w:line="240" w:lineRule="auto"/>
              <w:rPr>
                <w:rFonts w:hint="default" w:ascii="Times New Roman" w:hAnsi="Times New Roman" w:cs="Times New Roman"/>
              </w:rPr>
            </w:pPr>
            <w:r>
              <w:rPr>
                <w:rFonts w:hint="default" w:ascii="Times New Roman" w:hAnsi="Times New Roman" w:cs="Times New Roman"/>
              </w:rPr>
              <w:t>P95 latency</w:t>
            </w:r>
          </w:p>
        </w:tc>
        <w:tc>
          <w:tcPr>
            <w:tcW w:w="4968" w:type="dxa"/>
          </w:tcPr>
          <w:p w14:paraId="0AA8824A">
            <w:pPr>
              <w:spacing w:after="0" w:line="240" w:lineRule="auto"/>
              <w:rPr>
                <w:rFonts w:hint="default" w:ascii="Times New Roman" w:hAnsi="Times New Roman" w:cs="Times New Roman"/>
              </w:rPr>
            </w:pPr>
            <w:r>
              <w:rPr>
                <w:rFonts w:hint="default" w:ascii="Times New Roman" w:hAnsi="Times New Roman" w:cs="Times New Roman"/>
              </w:rPr>
              <w:t>63.07 ms</w:t>
            </w:r>
          </w:p>
        </w:tc>
      </w:tr>
      <w:tr w14:paraId="12FF4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21E2534">
            <w:pPr>
              <w:spacing w:after="0" w:line="240" w:lineRule="auto"/>
              <w:rPr>
                <w:rFonts w:hint="default" w:ascii="Times New Roman" w:hAnsi="Times New Roman" w:cs="Times New Roman"/>
              </w:rPr>
            </w:pPr>
            <w:r>
              <w:rPr>
                <w:rFonts w:hint="default" w:ascii="Times New Roman" w:hAnsi="Times New Roman" w:cs="Times New Roman"/>
              </w:rPr>
              <w:t>P99 latency</w:t>
            </w:r>
          </w:p>
        </w:tc>
        <w:tc>
          <w:tcPr>
            <w:tcW w:w="4968" w:type="dxa"/>
          </w:tcPr>
          <w:p w14:paraId="495B5C3D">
            <w:pPr>
              <w:spacing w:after="0" w:line="240" w:lineRule="auto"/>
              <w:rPr>
                <w:rFonts w:hint="default" w:ascii="Times New Roman" w:hAnsi="Times New Roman" w:cs="Times New Roman"/>
              </w:rPr>
            </w:pPr>
            <w:r>
              <w:rPr>
                <w:rFonts w:hint="default" w:ascii="Times New Roman" w:hAnsi="Times New Roman" w:cs="Times New Roman"/>
              </w:rPr>
              <w:t>124.11 ms</w:t>
            </w:r>
          </w:p>
        </w:tc>
      </w:tr>
      <w:tr w14:paraId="1BD24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B386A50">
            <w:pPr>
              <w:spacing w:after="0" w:line="240" w:lineRule="auto"/>
              <w:rPr>
                <w:rFonts w:hint="default" w:ascii="Times New Roman" w:hAnsi="Times New Roman" w:cs="Times New Roman"/>
              </w:rPr>
            </w:pPr>
            <w:r>
              <w:rPr>
                <w:rFonts w:hint="default" w:ascii="Times New Roman" w:hAnsi="Times New Roman" w:cs="Times New Roman"/>
              </w:rPr>
              <w:t>Throughput</w:t>
            </w:r>
          </w:p>
        </w:tc>
        <w:tc>
          <w:tcPr>
            <w:tcW w:w="4968" w:type="dxa"/>
          </w:tcPr>
          <w:p w14:paraId="0BC33F33">
            <w:pPr>
              <w:spacing w:after="0" w:line="240" w:lineRule="auto"/>
              <w:rPr>
                <w:rFonts w:hint="default" w:ascii="Times New Roman" w:hAnsi="Times New Roman" w:cs="Times New Roman"/>
              </w:rPr>
            </w:pPr>
            <w:r>
              <w:rPr>
                <w:rFonts w:hint="default" w:ascii="Times New Roman" w:hAnsi="Times New Roman" w:cs="Times New Roman"/>
              </w:rPr>
              <w:t>21.04 requests/second</w:t>
            </w:r>
          </w:p>
        </w:tc>
      </w:tr>
    </w:tbl>
    <w:p w14:paraId="4CF8462A">
      <w:pPr>
        <w:rPr>
          <w:rFonts w:hint="default" w:ascii="Times New Roman" w:hAnsi="Times New Roman" w:cs="Times New Roman"/>
        </w:rPr>
      </w:pPr>
      <w:r>
        <w:rPr>
          <w:rFonts w:hint="default" w:ascii="Times New Roman" w:hAnsi="Times New Roman" w:cs="Times New Roman"/>
        </w:rPr>
        <w:t>These results are a local Google Colab development benchmark rather than a production capacity guarantee. The P95 result indicates that 95% of measured requests completed within approximately 63.07 ms. The higher P99 indicates occasional slower requests, which is why percentile latency is more informative than average latency alone.</w:t>
      </w:r>
    </w:p>
    <w:p w14:paraId="0EAFD95C">
      <w:pPr>
        <w:pStyle w:val="2"/>
        <w:rPr>
          <w:rFonts w:hint="default" w:ascii="Times New Roman" w:hAnsi="Times New Roman" w:cs="Times New Roman"/>
        </w:rPr>
      </w:pPr>
      <w:r>
        <w:rPr>
          <w:rFonts w:hint="default" w:ascii="Times New Roman" w:hAnsi="Times New Roman" w:cs="Times New Roman"/>
        </w:rPr>
        <w:t>6. Monitoring, Data Quality and Alerts</w:t>
      </w:r>
    </w:p>
    <w:p w14:paraId="3CCB851D">
      <w:pPr>
        <w:rPr>
          <w:rFonts w:hint="default" w:ascii="Times New Roman" w:hAnsi="Times New Roman" w:cs="Times New Roman"/>
        </w:rPr>
      </w:pPr>
      <w:r>
        <w:rPr>
          <w:rFonts w:hint="default" w:ascii="Times New Roman" w:hAnsi="Times New Roman" w:cs="Times New Roman"/>
        </w:rPr>
        <w:t>Monitoring is designed across three levels. Infrastructure monitoring covers average latency, P95 latency and error rate. Data and feature monitoring covers row counts, missing values, invalid values, duplicate IDs and simple feature drift. Model/business monitoring should track labelled-feedback accuracy, recall, ROC-AUC or a proxy retention KPI once outcome labels become available.</w:t>
      </w:r>
    </w:p>
    <w:p w14:paraId="3A27B722">
      <w:pPr>
        <w:rPr>
          <w:rFonts w:hint="default" w:ascii="Times New Roman" w:hAnsi="Times New Roman" w:cs="Times New Roman"/>
        </w:rPr>
      </w:pPr>
      <w:r>
        <w:rPr>
          <w:rFonts w:hint="default" w:ascii="Times New Roman" w:hAnsi="Times New Roman" w:cs="Times New Roman"/>
        </w:rPr>
        <w:t>The current lightweight drift check compares the mean of MonthlyCharges between the reference training distribution and a recent batch. The reference mean was 64.7617 and the recent mean was 64.2485, producing a relative change of 0.79%. With a 20% threshold, no drift was detected. The data-quality check also returned PASS with no detected issues.</w:t>
      </w:r>
    </w:p>
    <w:p w14:paraId="5880FD26">
      <w:pPr>
        <w:rPr>
          <w:rFonts w:hint="default" w:ascii="Times New Roman" w:hAnsi="Times New Roman" w:cs="Times New Roman"/>
        </w:rPr>
      </w:pPr>
      <w:r>
        <w:rPr>
          <w:rFonts w:hint="default" w:ascii="Times New Roman" w:hAnsi="Times New Roman" w:cs="Times New Roman"/>
        </w:rPr>
        <w:t>In a fuller deployment, a dashboard would be used by the ML/data engineering team, while high-severity alerts would be routed to the service or data owner. Examples include an alert when API P95 latency exceeds an agreed service threshold, when the error rate rises, when required columns are missing, or when drift exceeds the defined threshold.</w:t>
      </w:r>
    </w:p>
    <w:p w14:paraId="7619BBE7">
      <w:pPr>
        <w:pStyle w:val="2"/>
        <w:rPr>
          <w:rFonts w:hint="default" w:ascii="Times New Roman" w:hAnsi="Times New Roman" w:cs="Times New Roman"/>
        </w:rPr>
      </w:pPr>
      <w:r>
        <w:rPr>
          <w:rFonts w:hint="default" w:ascii="Times New Roman" w:hAnsi="Times New Roman" w:cs="Times New Roman"/>
        </w:rPr>
        <w:t>7. Retraining Strategy</w:t>
      </w:r>
    </w:p>
    <w:p w14:paraId="1B81FEB8">
      <w:pPr>
        <w:rPr>
          <w:rFonts w:hint="default" w:ascii="Times New Roman" w:hAnsi="Times New Roman" w:cs="Times New Roman"/>
        </w:rPr>
      </w:pPr>
      <w:r>
        <w:rPr>
          <w:rFonts w:hint="default" w:ascii="Times New Roman" w:hAnsi="Times New Roman" w:cs="Times New Roman"/>
        </w:rPr>
        <w:t>Retraining is intentionally triggered by explicit operational signals rather than by an arbitrary schedule alone. The current policy is:</w:t>
      </w:r>
    </w:p>
    <w:p w14:paraId="6E0E5687">
      <w:pPr>
        <w:pStyle w:val="23"/>
        <w:rPr>
          <w:rFonts w:hint="default" w:ascii="Times New Roman" w:hAnsi="Times New Roman" w:cs="Times New Roman"/>
        </w:rPr>
      </w:pPr>
      <w:r>
        <w:rPr>
          <w:rFonts w:hint="default" w:ascii="Times New Roman" w:hAnsi="Times New Roman" w:cs="Times New Roman"/>
        </w:rPr>
        <w:t>Retrain when at least 500 new rows have accumulated.</w:t>
      </w:r>
    </w:p>
    <w:p w14:paraId="2FA9C377">
      <w:pPr>
        <w:pStyle w:val="23"/>
        <w:rPr>
          <w:rFonts w:hint="default" w:ascii="Times New Roman" w:hAnsi="Times New Roman" w:cs="Times New Roman"/>
        </w:rPr>
      </w:pPr>
      <w:r>
        <w:rPr>
          <w:rFonts w:hint="default" w:ascii="Times New Roman" w:hAnsi="Times New Roman" w:cs="Times New Roman"/>
        </w:rPr>
        <w:t>Retrain when significant feature drift is detected.</w:t>
      </w:r>
    </w:p>
    <w:p w14:paraId="687EBE1C">
      <w:pPr>
        <w:pStyle w:val="23"/>
        <w:rPr>
          <w:rFonts w:hint="default" w:ascii="Times New Roman" w:hAnsi="Times New Roman" w:cs="Times New Roman"/>
        </w:rPr>
      </w:pPr>
      <w:r>
        <w:rPr>
          <w:rFonts w:hint="default" w:ascii="Times New Roman" w:hAnsi="Times New Roman" w:cs="Times New Roman"/>
        </w:rPr>
        <w:t>Retrain when recent ROC-AUC falls by at least 0.05 from the baseline validation ROC-AUC of 0.8509.</w:t>
      </w:r>
    </w:p>
    <w:p w14:paraId="51BAA48E">
      <w:pPr>
        <w:rPr>
          <w:rFonts w:hint="default" w:ascii="Times New Roman" w:hAnsi="Times New Roman" w:cs="Times New Roman"/>
        </w:rPr>
      </w:pPr>
      <w:r>
        <w:rPr>
          <w:rFonts w:hint="default" w:ascii="Times New Roman" w:hAnsi="Times New Roman" w:cs="Times New Roman"/>
        </w:rPr>
        <w:t>The performance trigger therefore corresponds to a recent ROC-AUC of approximately 0.8009 or lower. The current monitoring run did not trigger retraining. The policy is intentionally simple and auditable; a production implementation could use a scheduler, model registry, automated evaluation gates and approval workflows before deployment.</w:t>
      </w:r>
    </w:p>
    <w:p w14:paraId="1DF2D000">
      <w:pPr>
        <w:pStyle w:val="2"/>
        <w:rPr>
          <w:rFonts w:hint="default" w:ascii="Times New Roman" w:hAnsi="Times New Roman" w:cs="Times New Roman"/>
        </w:rPr>
      </w:pPr>
      <w:r>
        <w:rPr>
          <w:rFonts w:hint="default" w:ascii="Times New Roman" w:hAnsi="Times New Roman" w:cs="Times New Roman"/>
        </w:rPr>
        <w:t>8. Incident Scenario and Recovery</w:t>
      </w:r>
    </w:p>
    <w:p w14:paraId="1812F287">
      <w:pPr>
        <w:rPr>
          <w:rFonts w:hint="default" w:ascii="Times New Roman" w:hAnsi="Times New Roman" w:cs="Times New Roman"/>
        </w:rPr>
      </w:pPr>
      <w:r>
        <w:rPr>
          <w:rFonts w:hint="default" w:ascii="Times New Roman" w:hAnsi="Times New Roman" w:cs="Times New Roman"/>
        </w:rPr>
        <w:t>A representative failure scenario is an upstream schema change. For example, an upstream provider could rename MonthlyCharges to Monthly_Charges. The ingestion and validation stage should detect that the expected feature is missing. The affected batch would be rejected or quarantined, an alert would be generated, and the model would not be retrained using the invalid data.</w:t>
      </w:r>
    </w:p>
    <w:p w14:paraId="3165715E">
      <w:pPr>
        <w:rPr>
          <w:rFonts w:hint="default" w:ascii="Times New Roman" w:hAnsi="Times New Roman" w:cs="Times New Roman"/>
        </w:rPr>
      </w:pPr>
      <w:r>
        <w:rPr>
          <w:rFonts w:hint="default" w:ascii="Times New Roman" w:hAnsi="Times New Roman" w:cs="Times New Roman"/>
        </w:rPr>
        <w:t>The response would be to investigate the source change, update the ingestion mapping, rerun data-quality checks, verify feature calculations, and only then resume processing. If a bad model had already been deployed, the serving layer should support rollback to the last known-good model artifact.</w:t>
      </w:r>
    </w:p>
    <w:p w14:paraId="05C713E9">
      <w:pPr>
        <w:pStyle w:val="2"/>
        <w:rPr>
          <w:rFonts w:hint="default" w:ascii="Times New Roman" w:hAnsi="Times New Roman" w:cs="Times New Roman"/>
        </w:rPr>
      </w:pPr>
      <w:r>
        <w:rPr>
          <w:rFonts w:hint="default" w:ascii="Times New Roman" w:hAnsi="Times New Roman" w:cs="Times New Roman"/>
        </w:rPr>
        <w:t>9. Key Trade-offs, Limitations and Future Work</w:t>
      </w:r>
    </w:p>
    <w:p w14:paraId="3EF1F2BB">
      <w:pPr>
        <w:rPr>
          <w:rFonts w:hint="default" w:ascii="Times New Roman" w:hAnsi="Times New Roman" w:cs="Times New Roman"/>
        </w:rPr>
      </w:pPr>
      <w:r>
        <w:rPr>
          <w:rFonts w:hint="default" w:ascii="Times New Roman" w:hAnsi="Times New Roman" w:cs="Times New Roman"/>
        </w:rPr>
        <w:t>The main trade-off is simplicity versus production sophistication. Logistic Regression is less flexible than many ensemble or boosting models, but it is fast, easy to inspect and performed better on the primary validation metric than the tested Random Forest. The system also uses a simple mean-based drift detector rather than a statistical distribution test or a dedicated monitoring platform. This is appropriate for a mini system but would need strengthening before production deployment.</w:t>
      </w:r>
    </w:p>
    <w:p w14:paraId="503D91D6">
      <w:pPr>
        <w:rPr>
          <w:rFonts w:hint="default" w:ascii="Times New Roman" w:hAnsi="Times New Roman" w:cs="Times New Roman"/>
        </w:rPr>
      </w:pPr>
      <w:r>
        <w:rPr>
          <w:rFonts w:hint="default" w:ascii="Times New Roman" w:hAnsi="Times New Roman" w:cs="Times New Roman"/>
        </w:rPr>
        <w:t>Other limitations include the local development environment, a small benchmark workload, the absence of a full model registry, and the lack of a continuous labelled-feedback loop. Future work could include Docker deployment, CI/CD, cloud hosting, automated scheduled retraining, a feature store, richer drift detection, model explainability, centralized monitoring and automated alerting.</w:t>
      </w:r>
    </w:p>
    <w:p w14:paraId="29609B56">
      <w:pPr>
        <w:pStyle w:val="2"/>
        <w:rPr>
          <w:rFonts w:hint="default" w:ascii="Times New Roman" w:hAnsi="Times New Roman" w:cs="Times New Roman"/>
        </w:rPr>
      </w:pPr>
      <w:r>
        <w:rPr>
          <w:rFonts w:hint="default" w:ascii="Times New Roman" w:hAnsi="Times New Roman" w:cs="Times New Roman"/>
        </w:rPr>
        <w:t>10. Reproducibility and Repository Structure</w:t>
      </w:r>
    </w:p>
    <w:p w14:paraId="2A0461E7">
      <w:pPr>
        <w:rPr>
          <w:rFonts w:hint="default" w:ascii="Times New Roman" w:hAnsi="Times New Roman" w:cs="Times New Roman"/>
        </w:rPr>
      </w:pPr>
      <w:r>
        <w:rPr>
          <w:rFonts w:hint="default" w:ascii="Times New Roman" w:hAnsi="Times New Roman" w:cs="Times New Roman"/>
        </w:rPr>
        <w:t>The project is structured as a small Python repository rather than a single notebook. The repeatable training pipeline is training/train.py, feature logic is under features/, ingestion under ingestion/, the API under api/, and monitoring under monitoring/. Basic pytest coverage verifies feature creation. Model and evaluation artifacts are stored separately from source code.</w:t>
      </w:r>
    </w:p>
    <w:p w14:paraId="0646A61A">
      <w:pPr>
        <w:rPr>
          <w:rFonts w:hint="default" w:ascii="Times New Roman" w:hAnsi="Times New Roman" w:cs="Times New Roman"/>
        </w:rPr>
      </w:pPr>
      <w:r>
        <w:rPr>
          <w:rFonts w:hint="default" w:ascii="Times New Roman" w:hAnsi="Times New Roman" w:cs="Times New Roman"/>
          <w:b/>
        </w:rPr>
        <w:t>Key execution commands:</w:t>
      </w:r>
      <w:r>
        <w:rPr>
          <w:rFonts w:hint="default" w:ascii="Times New Roman" w:hAnsi="Times New Roman" w:cs="Times New Roman"/>
          <w:b/>
        </w:rPr>
        <w:br w:type="textWrapping"/>
      </w:r>
      <w:r>
        <w:rPr>
          <w:rFonts w:hint="default" w:ascii="Times New Roman" w:hAnsi="Times New Roman" w:cs="Times New Roman"/>
        </w:rPr>
        <w:t>python training/train.py</w:t>
      </w:r>
      <w:r>
        <w:rPr>
          <w:rFonts w:hint="default" w:ascii="Times New Roman" w:hAnsi="Times New Roman" w:cs="Times New Roman"/>
        </w:rPr>
        <w:br w:type="textWrapping"/>
      </w:r>
      <w:r>
        <w:rPr>
          <w:rFonts w:hint="default" w:ascii="Times New Roman" w:hAnsi="Times New Roman" w:cs="Times New Roman"/>
        </w:rPr>
        <w:t>pytest tests/test_features.py -v</w:t>
      </w:r>
    </w:p>
    <w:p w14:paraId="11229CD5">
      <w:pPr>
        <w:pStyle w:val="2"/>
        <w:rPr>
          <w:rFonts w:hint="default" w:ascii="Times New Roman" w:hAnsi="Times New Roman" w:cs="Times New Roman"/>
        </w:rPr>
      </w:pPr>
      <w:r>
        <w:rPr>
          <w:rFonts w:hint="default" w:ascii="Times New Roman" w:hAnsi="Times New Roman" w:cs="Times New Roman"/>
        </w:rPr>
        <w:t>Appendix A – System Architecture</w:t>
      </w:r>
    </w:p>
    <w:p w14:paraId="6DFEDA02">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126480" cy="4084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126480" cy="4084320"/>
                    </a:xfrm>
                    <a:prstGeom prst="rect">
                      <a:avLst/>
                    </a:prstGeom>
                  </pic:spPr>
                </pic:pic>
              </a:graphicData>
            </a:graphic>
          </wp:inline>
        </w:drawing>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C2239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1555</Words>
  <Characters>9448</Characters>
  <Lines>0</Lines>
  <Paragraphs>0</Paragraphs>
  <TotalTime>2</TotalTime>
  <ScaleCrop>false</ScaleCrop>
  <LinksUpToDate>false</LinksUpToDate>
  <CharactersWithSpaces>10906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aleena roy</cp:lastModifiedBy>
  <dcterms:modified xsi:type="dcterms:W3CDTF">2026-08-07T10:54:53Z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eyJoZGlkIjoiNTU1ZmE2YjM5Mjg4OTc4ZDgyODFlZWUxODc2ODczMTYiLCJ1c2VySWQiOiI1NDk3NjcyNjg2MjYifQ==</vt:lpwstr>
  </property>
  <property fmtid="{D5CDD505-2E9C-101B-9397-08002B2CF9AE}" pid="3" name="KSOProductBuildVer">
    <vt:lpwstr>1033-12.1.0.28032</vt:lpwstr>
  </property>
  <property fmtid="{D5CDD505-2E9C-101B-9397-08002B2CF9AE}" pid="4" name="ICV">
    <vt:lpwstr>FBE3F65FAB944C5AA9E0436FB305A3F2_12</vt:lpwstr>
  </property>
</Properties>
</file>