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E3A8A"/>
          <w:sz w:val="48"/>
          <w:szCs w:val="48"/>
        </w:rPr>
        <w:t xml:space="preserve">ZUNO DIGITAL BANK</w:t>
      </w:r>
    </w:p>
    <w:p>
      <w:pPr>
        <w:spacing w:after="300"/>
        <w:jc w:val="center"/>
      </w:pPr>
      <w:r>
        <w:rPr>
          <w:b/>
          <w:bCs/>
          <w:color w:val="0D9488"/>
          <w:sz w:val="24"/>
          <w:szCs w:val="24"/>
        </w:rPr>
        <w:t xml:space="preserve">FINTECH STARTUP LAUNCH BLUEPRINT &amp; REGULATORY DOSSIER
</w:t>
      </w:r>
      <w:r>
        <w:rPr>
          <w:i/>
          <w:iCs/>
          <w:color w:val="64748B"/>
          <w:sz w:val="20"/>
          <w:szCs w:val="20"/>
        </w:rPr>
        <w:t xml:space="preserve">A Practical Operational Guide: From Completed Application to Compliant Launch in Nigeria
</w:t>
      </w:r>
      <w:r>
        <w:rPr>
          <w:color w:val="94A3B8"/>
          <w:sz w:val="18"/>
          <w:szCs w:val="18"/>
        </w:rPr>
        <w:t xml:space="preserve">Generated for Founder &amp; Advisory Board | Date: October 2026 | Version 1.0</w:t>
      </w:r>
    </w:p>
    <w:p>
      <w:pPr>
        <w:pStyle w:val="Heading1"/>
        <w:spacing w:after="100" w:before="200"/>
      </w:pPr>
      <w:r>
        <w:rPr>
          <w:b/>
          <w:bCs/>
          <w:color w:val="1E3A8A"/>
          <w:sz w:val="28"/>
          <w:szCs w:val="28"/>
        </w:rPr>
        <w:t xml:space="preserve">1. Executive Summary &amp; Current Position</w:t>
      </w:r>
    </w:p>
    <w:p>
      <w:pPr>
        <w:spacing w:after="120"/>
      </w:pPr>
      <w:r>
        <w:rPr>
          <w:color w:val="1E293B"/>
          <w:sz w:val="22"/>
          <w:szCs w:val="22"/>
        </w:rPr>
        <w:t xml:space="preserve">Zuno Digital Bank has successfully completed its core engineering build. The full-stack application features multi-currency wallets (NGN, USD, GBP, EUR), double-entry GAAP general ledger accounting, automated invoicing/payment links, bill payments, savings hubs, and Tier 1–3 KYC verification.
</w:t>
      </w:r>
      <w:r>
        <w:rPr>
          <w:b/>
          <w:bCs/>
          <w:color w:val="1E3A8A"/>
          <w:sz w:val="22"/>
          <w:szCs w:val="22"/>
        </w:rPr>
        <w:t xml:space="preserve">The Primary Objective: </w:t>
      </w:r>
      <w:r>
        <w:rPr>
          <w:color w:val="1E293B"/>
          <w:sz w:val="22"/>
          <w:szCs w:val="22"/>
        </w:rPr>
        <w:t xml:space="preserve">To bridge the gap between completed code and a licensed, compliant commercial launch by establishing a partner-led operating model with an authorised Nigerian financial institution (e.g. Providus Bank / Tier-1 Microfinance Bank), validating transaction settlement integrity, and launching a controlled merchant pilot.
</w:t>
      </w:r>
      <w:r>
        <w:rPr>
          <w:b/>
          <w:bCs/>
          <w:color w:val="DC2626"/>
          <w:sz w:val="22"/>
          <w:szCs w:val="22"/>
        </w:rPr>
        <w:t xml:space="preserve">CORE FINTECH GOLDEN RULE: </w:t>
      </w:r>
      <w:r>
        <w:rPr>
          <w:i/>
          <w:iCs/>
          <w:color w:val="DC2626"/>
          <w:sz w:val="22"/>
          <w:szCs w:val="22"/>
        </w:rPr>
        <w:t xml:space="preserve">Do not process live customer funds until the regulatory operating position, required partner approvals, customer disclosures, and settlement reconciliation controls are finalized. A licensed partner rails agreement does not automatically authorise Zuno to perform every regulated banking activity independently.</w:t>
      </w:r>
    </w:p>
    <w:p>
      <w:pPr>
        <w:pStyle w:val="Heading1"/>
        <w:spacing w:after="140" w:before="300"/>
      </w:pPr>
      <w:r>
        <w:rPr>
          <w:b/>
          <w:bCs/>
          <w:color w:val="1E3A8A"/>
          <w:sz w:val="28"/>
          <w:szCs w:val="28"/>
        </w:rPr>
        <w:t xml:space="preserve">2. Completed One-Page Business Model Template</w:t>
      </w:r>
    </w:p>
    <w:p>
      <w:pPr>
        <w:spacing w:after="120"/>
      </w:pPr>
      <w:r>
        <w:rPr>
          <w:i/>
          <w:iCs/>
          <w:color w:val="64748B"/>
          <w:sz w:val="20"/>
          <w:szCs w:val="20"/>
        </w:rPr>
        <w:t xml:space="preserve">This document is ready to be shared with prospective partner banks, regulatory counsel, and mentors without exposing proprietary source 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Dimension</w:t>
            </w:r>
          </w:p>
        </w:tc>
        <w:tc>
          <w:tcPr>
            <w:tcW w:type="pct" w:w="3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Zuno Digital Bank Specification</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Company / Working Name</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Zuno Technologies Limited (Operating brand: Zuno Digital Bank)</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Product in One Sentence</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A modern, multi-currency neobank and SME commercial suite providing separate NGN, USD, GBP, and EUR balances that enables Nigerian creators and businesses to receive foreign funds without forced Naira conversion, alongside local NIP payments, invoicing, and savings.</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Problem Being Solved</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1) Nigerian remote workers and businesses lose 5%–10% of their earnings on forced automated conversion when receiving USD.
2) High remittance friction and opaque FX spreads.
3) Fragmented financial tools: entrepreneurs are forced to maintain separate apps for invoices, foreign currency, and day-to-day local banking.</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Target Customer</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Nigerian digital freelancers, tech workers, export merchants, creative professionals, and registered/unregistered SMEs who transact both locally and cross-border.</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Core User Journey</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1. Onboard via phone OTP and email.
2. Tier 2 KYC verification via BVN/NIN generates personal NGN virtual account and dedicated US/UK receiving details.
3. User receives local NIP or international payments (retained in native currency).
4. User generates payment links, invoices, converts FX at transparent mid-market rates, pays bills, or saves with automated interest.</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Money Flow Architecture</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 Local: Payer -&gt; NIBSS NIP Rail -&gt; Providus/Partner Bank Settlement Pool -&gt; Zuno NGN Wallet.
• International USD/EUR/GBP: Overseas Client -&gt; ACH/SEPA/FPS rails -&gt; Partner Custody Bank (CFSB/JPMorgan/ClearBank) -&gt; Zuno Inward Remittance Ledger -&gt; Zuno Multi-Currency Wallet.
• Payout: Zuno Multi-Currency Wallet -&gt; Local NIP or Outward Remittance Rail.</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Who Holds Customer Funds?</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Licensed Partner Financial Institutions (e.g., Providus Bank / Partner MFB for NGN deposits; licensed International Custodian/Fintech partner for FX deposits). Zuno operates as a Core Software &amp; Financial Technology Operator (PSSP / MMO Agent model).</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Regulated Activities Involved</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 Payment initiation &amp; collection (PSSP rails).
• Inward international remittance receipt.
• Digital stored-value wallet &amp; ledger management.
• Micro-savings administration (via MFB partner license).</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Proposed Partner Role</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Authorised Banking Partner / Sponsor Bank: provides CBN-regulated custody, NDIC deposit insurance coverage, NIBSS NIP integration, and regulatory reporting.</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Revenue Model</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1) 0.5% transparent FX spread on cross-border currency exchanges.
2) ₦10 - ₦50 flat fee on external NIP transfers and utility bill convenience fees.
3) 1.2% fee on merchant invoice payment links (capped at ₦2,000 / $20).
4) Interest margin share on fixed &amp; flexible target savings deposits.
5) Virtual card issuance ($2.00) and international card spend interchange.</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Current Build Status</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Application engineering 100% complete: Multi-currency ledger, double-entry GAAP journal, business workspace, invoicing, bill payments, savings hub, cards, and KYC tier 1-3 modules are fully functional.</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Main Launch Blockers</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1. Formalizing partner bank agreement (Sponsor MFB / Commercial Bank SLA).
2. Regulatory compliance review &amp; non-objection clearance.
3. Transitioning from sandbox mock credentials to live production settlement accounts.</w:t>
            </w:r>
          </w:p>
        </w:tc>
      </w:tr>
      <w:tr>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Next 90-Day Target</w:t>
            </w:r>
          </w:p>
        </w:tc>
        <w:tc>
          <w:tcPr>
            <w:tcW w:type="pct" w:w="3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Sign partnership agreement with licensed sponsor institution, obtain pilot approval, launch closed beta with 50 vetted merchants, and process $150,000 in test-settled volume with zero reconciliation discrepancy.</w:t>
            </w:r>
          </w:p>
        </w:tc>
      </w:tr>
    </w:tbl>
    <w:p>
      <w:pPr>
        <w:pStyle w:val="Heading1"/>
        <w:spacing w:after="120" w:before="300"/>
      </w:pPr>
      <w:r>
        <w:rPr>
          <w:b/>
          <w:bCs/>
          <w:color w:val="1E3A8A"/>
          <w:sz w:val="28"/>
          <w:szCs w:val="28"/>
        </w:rPr>
        <w:t xml:space="preserve">3. Money Flow Architecture &amp; Responsibility Matrix</w:t>
      </w:r>
    </w:p>
    <w:p>
      <w:pPr>
        <w:spacing w:after="120"/>
      </w:pPr>
      <w:r>
        <w:rPr>
          <w:color w:val="1E293B"/>
          <w:sz w:val="22"/>
          <w:szCs w:val="22"/>
        </w:rPr>
        <w:t xml:space="preserve">A clear division of responsibility between Zuno Technologies and the Licensed Partner Bank ensures CBN regulatory alignment and operational clarity.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pct" w:w="175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Banking Activity</w:t>
            </w:r>
          </w:p>
        </w:tc>
        <w:tc>
          <w:tcPr>
            <w:tcW w:type="pct" w:w="175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Zuno Technologies (App Operator)</w:t>
            </w:r>
          </w:p>
        </w:tc>
        <w:tc>
          <w:tcPr>
            <w:tcW w:type="pct" w:w="1500"/>
            <w:tcBorders>
              <w:top w:val="single" w:color="CBD5E1" w:sz="1"/>
              <w:left w:val="single" w:color="CBD5E1" w:sz="1"/>
              <w:bottom w:val="single" w:color="CBD5E1" w:sz="1"/>
              <w:right w:val="single" w:color="CBD5E1" w:sz="1"/>
            </w:tcBorders>
            <w:shd w:fill="E2E8F0" w:color="auto" w:val="clear"/>
            <w:tcMar>
              <w:top w:type="dxa" w:w="120"/>
              <w:left w:type="dxa" w:w="160"/>
              <w:bottom w:type="dxa" w:w="120"/>
              <w:right w:type="dxa" w:w="160"/>
            </w:tcMar>
          </w:tcPr>
          <w:p>
            <w:r>
              <w:rPr>
                <w:b/>
                <w:bCs/>
                <w:color w:val="1E3A8A"/>
                <w:sz w:val="20"/>
                <w:szCs w:val="20"/>
              </w:rPr>
              <w:t xml:space="preserve">Licensed Partner Bank (MFB/Commercial)</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Customer Deposits &amp; Custody</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Provides UI, balances, and ledger accounting</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Holds actual funds in escrow; provides NDIC insurance</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KYC &amp; Identity Verification</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Collects BVN, NIN, ID documents, liveness check</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Validates against NIBSS / NIMC and maintains regulatory records</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International USD Receipts</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Credits USD wallet without auto-conversion</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Receives inbound ACH/Wire via correspondent banking partner</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Interbank NIP Transfers</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Authenticates user PIN, generates transaction reference</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Executes NIBSS Instant Payment clearing &amp; settlement</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Disputes &amp; Chargebacks</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First-line customer support and dispute intake</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Interbank arbitration via NIBSS Dispute Management (NDMS)</w:t>
            </w:r>
          </w:p>
        </w:tc>
      </w:tr>
      <w:tr>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Regulatory Compliance &amp; Reporting</w:t>
            </w:r>
          </w:p>
        </w:tc>
        <w:tc>
          <w:tcPr>
            <w:tcW w:type="pct" w:w="175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Maintains transaction audit trails &amp; suspicious activity logs</w:t>
            </w:r>
          </w:p>
        </w:tc>
        <w:tc>
          <w:tcPr>
            <w:tcW w:type="pct" w:w="1500"/>
            <w:tcBorders>
              <w:top w:val="single" w:color="CBD5E1" w:sz="1"/>
              <w:left w:val="single" w:color="CBD5E1" w:sz="1"/>
              <w:bottom w:val="single" w:color="CBD5E1" w:sz="1"/>
              <w:right w:val="single" w:color="CBD5E1" w:sz="1"/>
            </w:tcBorders>
            <w:shd w:fill="FFFFFF" w:color="auto" w:val="clear"/>
            <w:tcMar>
              <w:top w:type="dxa" w:w="120"/>
              <w:left w:type="dxa" w:w="160"/>
              <w:bottom w:type="dxa" w:w="120"/>
              <w:right w:type="dxa" w:w="160"/>
            </w:tcMar>
          </w:tcPr>
          <w:p>
            <w:r>
              <w:rPr>
                <w:b w:val="false"/>
                <w:bCs w:val="false"/>
                <w:color w:val="1E293B"/>
                <w:sz w:val="20"/>
                <w:szCs w:val="20"/>
              </w:rPr>
              <w:t xml:space="preserve">Submits statutory returns to CBN, NFIU, and NDIC</w:t>
            </w:r>
          </w:p>
        </w:tc>
      </w:tr>
    </w:tbl>
    <w:p>
      <w:pPr>
        <w:pStyle w:val="Heading1"/>
        <w:spacing w:after="120" w:before="300"/>
      </w:pPr>
      <w:r>
        <w:rPr>
          <w:b/>
          <w:bCs/>
          <w:color w:val="1E3A8A"/>
          <w:sz w:val="28"/>
          <w:szCs w:val="28"/>
        </w:rPr>
        <w:t xml:space="preserve">4. Document Readiness Checklist (Code vs. Offline Founder Tasks)</w:t>
      </w:r>
    </w:p>
    <w:p>
      <w:pPr>
        <w:spacing w:after="100"/>
      </w:pPr>
      <w:r>
        <w:rPr>
          <w:b/>
          <w:bCs/>
          <w:color w:val="0D9488"/>
          <w:sz w:val="22"/>
          <w:szCs w:val="22"/>
        </w:rPr>
        <w:t xml:space="preserve">PART A: ALREADY BUILT IN THE ZUNO CODEBASE (100% COMPLETE):
</w:t>
      </w:r>
      <w:r>
        <w:rPr>
          <w:color w:val="1E293B"/>
          <w:sz w:val="20"/>
          <w:szCs w:val="20"/>
        </w:rPr>
        <w:t xml:space="preserve">[x] Full multi-currency wallet ledger engine (NGN, USD, GBP, EUR)
[x] Inward USD receipt without automatic conversion to NGN
[x] Double-entry general ledger with GAAP chart of accounts
[x] Dynamic payment links and digital invoices for merchants
[x] Idempotency protection &amp; duplicate settlement controls
[x] Tier 1, 2, and 3 KYC validation endpoints (BVN / NIN)
[x] Automated daily interest calculations for flexible and target savings
[x] Virtual debit card issuance and spending limit management
[x] Comprehensive audit logging and exportable transaction statements
</w:t>
      </w:r>
      <w:r>
        <w:rPr>
          <w:b/>
          <w:bCs/>
          <w:color w:val="1E3A8A"/>
          <w:sz w:val="22"/>
          <w:szCs w:val="22"/>
        </w:rPr>
        <w:t xml:space="preserve">PART B: REQUIRED FROM FOUNDER OFFLINE (GATHER BEFORE PARTNER MEETINGS):
</w:t>
      </w:r>
      <w:r>
        <w:rPr>
          <w:color w:val="1E293B"/>
          <w:sz w:val="20"/>
          <w:szCs w:val="20"/>
        </w:rPr>
        <w:t xml:space="preserve">[ ] CAC Certificate of Incorporation &amp; Status Report (RC Number)
[ ] Memorandum and Articles of Association (MEMART)
[ ] Tax Identification Number (TIN) and Tax Clearance Certificate
[ ] Directors &amp; Beneficial Owners BVN, NIN, and Proof of Address
[ ] 3-Year Financial Projections &amp; Cash Flow Model
[ ] Written AML/CFT Compliance Policy &amp; Risk Assessment Framework
[ ] Customer Data Privacy Policy (NDPR Compliant) &amp; Terms of Service
[ ] Information Security &amp; Disaster Recovery Plan
</w:t>
      </w:r>
    </w:p>
    <w:p>
      <w:pPr>
        <w:pStyle w:val="Heading1"/>
        <w:spacing w:after="120" w:before="300"/>
      </w:pPr>
      <w:r>
        <w:rPr>
          <w:b/>
          <w:bCs/>
          <w:color w:val="1E3A8A"/>
          <w:sz w:val="28"/>
          <w:szCs w:val="28"/>
        </w:rPr>
        <w:t xml:space="preserve">5. Mentorship Strategy: Approaching Adeola Adedewe</w:t>
      </w:r>
    </w:p>
    <w:p>
      <w:pPr>
        <w:spacing w:after="100"/>
      </w:pPr>
      <w:r>
        <w:rPr>
          <w:b/>
          <w:bCs/>
          <w:color w:val="0D9488"/>
          <w:sz w:val="20"/>
          <w:szCs w:val="20"/>
        </w:rPr>
        <w:t xml:space="preserve">INITIAL CONNECTION REQUEST (LINKEDIN):
</w:t>
      </w:r>
      <w:r>
        <w:rPr>
          <w:i/>
          <w:iCs/>
          <w:color w:val="1E293B"/>
          <w:sz w:val="20"/>
          <w:szCs w:val="20"/>
        </w:rPr>
        <w:t xml:space="preserve">"Hello Adeola, I'm a Nigerian fintech founder who has engineered Zuno Digital Bank (multi-currency wallets with no forced USD conversion and SME tools) and am preparing for compliant launch. I'm currently navigating our banking partnership rails and regulatory roadmap. I'd deeply value the chance to connect and learn from your journey building Kredete. Thank you."
</w:t>
      </w:r>
      <w:r>
        <w:rPr>
          <w:b/>
          <w:bCs/>
          <w:color w:val="0D9488"/>
          <w:sz w:val="20"/>
          <w:szCs w:val="20"/>
        </w:rPr>
        <w:t xml:space="preserve">FOLLOW-UP MESSAGE AFTER ACCEPTANCE:
</w:t>
      </w:r>
      <w:r>
        <w:rPr>
          <w:i/>
          <w:iCs/>
          <w:color w:val="1E293B"/>
          <w:sz w:val="20"/>
          <w:szCs w:val="20"/>
        </w:rPr>
        <w:t xml:space="preserve">"Hello Adeola,
Thank you for connecting.
I've built Zuno Digital Bank to solve a critical problem for Nigerian creators, remote staff, and SMEs: enabling them to receive foreign client payments in USD/GBP/EUR without forced Naira conversion, alongside local NIP banking and invoicing. Our core engineering, double-entry ledger, and KYC modules are fully built.
We are now at the pre-launch stage, structuring our sponsor bank partnership and regulatory clearance. Having watched Kredete navigate credit and financial infrastructure in Nigeria, I'd genuinely value 15 minutes of your perspective on how you evaluated partner bank rails versus licensing at this exact stage.
I respect how demanding your schedule is. Even brief written thoughts or a short call would be invaluable.
Best regards,
[Your Name] | Founder, Zuno Technologies"
</w:t>
      </w:r>
      <w:r>
        <w:rPr>
          <w:b/>
          <w:bCs/>
          <w:color w:val="1E3A8A"/>
          <w:sz w:val="20"/>
          <w:szCs w:val="20"/>
        </w:rPr>
        <w:t xml:space="preserve">3 HIGH-VALUE QUESTIONS TO ASK IN THE CALL:
</w:t>
      </w:r>
      <w:r>
        <w:rPr>
          <w:color w:val="1E293B"/>
          <w:sz w:val="20"/>
          <w:szCs w:val="20"/>
        </w:rPr>
        <w:t xml:space="preserve">1. "When partnering with sponsor banks (like Providus or Wema/ALAT), what are the key contractual safeguards needed around settlement float and dispute SLA timing?"
2. "How did you sequence regulatory engagement with CBN/NDIC to avoid premature scrutiny while validating product-market fit?"
3. "What metrics did you track in your first 90 days to prove risk management capability to financial partners?"
</w:t>
      </w:r>
    </w:p>
    <w:p>
      <w:pPr>
        <w:pStyle w:val="Heading1"/>
        <w:spacing w:after="120" w:before="300"/>
      </w:pPr>
      <w:r>
        <w:rPr>
          <w:b/>
          <w:bCs/>
          <w:color w:val="1E3A8A"/>
          <w:sz w:val="28"/>
          <w:szCs w:val="28"/>
        </w:rPr>
        <w:t xml:space="preserve">6. Practical 30-Day Launch Readiness Work Plan</w:t>
      </w:r>
    </w:p>
    <w:p>
      <w:pPr>
        <w:spacing w:after="120"/>
      </w:pPr>
      <w:r>
        <w:rPr>
          <w:b/>
          <w:bCs/>
          <w:color w:val="1E3A8A"/>
          <w:sz w:val="20"/>
          <w:szCs w:val="20"/>
        </w:rPr>
        <w:t xml:space="preserve">Days 1–7 | Regulatory Clarity &amp; Corporate Pack:
</w:t>
      </w:r>
      <w:r>
        <w:rPr>
          <w:color w:val="1E293B"/>
          <w:sz w:val="20"/>
          <w:szCs w:val="20"/>
        </w:rPr>
        <w:t xml:space="preserve">• Assemble CAC extracts, TIN, and Director identification in the secure data room.
• Engage a Nigerian fintech compliance attorney to confirm the sponsor MFB / PSSP partner scope.
• Finalize the One-Page Business Model and Money Flow diagram.
</w:t>
      </w:r>
      <w:r>
        <w:rPr>
          <w:b/>
          <w:bCs/>
          <w:color w:val="1E3A8A"/>
          <w:sz w:val="20"/>
          <w:szCs w:val="20"/>
        </w:rPr>
        <w:t xml:space="preserve">Days 8–14 | Sponsor Bank Outreach:
</w:t>
      </w:r>
      <w:r>
        <w:rPr>
          <w:color w:val="1E293B"/>
          <w:sz w:val="20"/>
          <w:szCs w:val="20"/>
        </w:rPr>
        <w:t xml:space="preserve">• Pitch partner integration to shortlisted institutions (Providus Bank, Wema ALAT, Moniepoint, Sterling Switch).
• Review provider fee structures, NIP settlement windows, and webhook SLAs.
• Send the mentorship outreach to Adeola Adedewe.
</w:t>
      </w:r>
      <w:r>
        <w:rPr>
          <w:b/>
          <w:bCs/>
          <w:color w:val="1E3A8A"/>
          <w:sz w:val="20"/>
          <w:szCs w:val="20"/>
        </w:rPr>
        <w:t xml:space="preserve">Days 15–21 | Operational Simulation &amp; Reconciliation Testing:
</w:t>
      </w:r>
      <w:r>
        <w:rPr>
          <w:color w:val="1E293B"/>
          <w:sz w:val="20"/>
          <w:szCs w:val="20"/>
        </w:rPr>
        <w:t xml:space="preserve">• Simulate 500+ end-to-end transactions across all currencies (NGN, USD, GBP, EUR).
• Verify general ledger balance equation integrity: Asset = Liability + Equity.
• Validate webhook error handling, idempotency, and duplicate payment rejections.
</w:t>
      </w:r>
      <w:r>
        <w:rPr>
          <w:b/>
          <w:bCs/>
          <w:color w:val="1E3A8A"/>
          <w:sz w:val="20"/>
          <w:szCs w:val="20"/>
        </w:rPr>
        <w:t xml:space="preserve">Days 22–30 | Closed Pilot Go/No-Go Decision:
</w:t>
      </w:r>
      <w:r>
        <w:rPr>
          <w:color w:val="1E293B"/>
          <w:sz w:val="20"/>
          <w:szCs w:val="20"/>
        </w:rPr>
        <w:t xml:space="preserve">• Sign sponsor bank agreement and obtain regulatory non-objection letter.
• Launch closed beta pilot with 50 pre-registered merchants and freelancers.
• Monitor daily settlement reconciliation, dispute turnaround, and user feedback.
</w:t>
      </w:r>
    </w:p>
    <w:p>
      <w:pPr>
        <w:spacing w:before="200"/>
      </w:pPr>
      <w:r>
        <w:rPr>
          <w:i/>
          <w:iCs/>
          <w:color w:val="94A3B8"/>
          <w:sz w:val="18"/>
          <w:szCs w:val="18"/>
        </w:rPr>
        <w:t xml:space="preserve">Prepared specifically for Zuno Digital Bank by the AI Studio Build Architecture Team.
Confidential &amp; Proprietary | For Internal Planning &amp; Authorized Partner Presentations Only.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ZUNO Digital Bank — Compliant Launch Blueprint</dc:title>
  <dc:creator>Zuno Digital Bank Architecture Team</dc:creator>
  <dc:description>Operational, Regulatory, and Partnership Dossier for Compliant Fintech Launch</dc:description>
  <cp:lastModifiedBy>Un-named</cp:lastModifiedBy>
  <cp:revision>1</cp:revision>
  <dcterms:created xsi:type="dcterms:W3CDTF">2026-10-17T14:58:34.455Z</dcterms:created>
  <dcterms:modified xsi:type="dcterms:W3CDTF">2026-10-17T14:58:34.456Z</dcterms:modified>
</cp:coreProperties>
</file>

<file path=docProps/custom.xml><?xml version="1.0" encoding="utf-8"?>
<Properties xmlns="http://schemas.openxmlformats.org/officeDocument/2006/custom-properties" xmlns:vt="http://schemas.openxmlformats.org/officeDocument/2006/docPropsVTypes"/>
</file>