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EED7" w14:textId="10DC2930" w:rsidR="00387F15" w:rsidRDefault="007D220D" w:rsidP="007D220D">
      <w:pPr>
        <w:pStyle w:val="Ttulo1"/>
        <w:spacing w:line="360" w:lineRule="auto"/>
        <w:rPr>
          <w:rFonts w:ascii="Arial" w:hAnsi="Arial" w:cs="Arial"/>
          <w:color w:val="auto"/>
          <w:sz w:val="24"/>
          <w:szCs w:val="24"/>
        </w:rPr>
      </w:pPr>
      <w:r w:rsidRPr="00387F15">
        <w:rPr>
          <w:rFonts w:ascii="Arial" w:hAnsi="Arial" w:cs="Arial"/>
          <w:color w:val="auto"/>
          <w:sz w:val="24"/>
          <w:szCs w:val="24"/>
        </w:rPr>
        <w:t>COLETA DE DADOS E PRIVACIDADE EM JOGOS DIGITAIS: IMPLICAÇÕES ÉTICAS E REGULATÓRIAS</w:t>
      </w:r>
    </w:p>
    <w:p w14:paraId="43F2A137" w14:textId="77777777" w:rsidR="007D220D" w:rsidRPr="007D220D" w:rsidRDefault="007D220D" w:rsidP="007D220D"/>
    <w:p w14:paraId="44C56599" w14:textId="7C95F2FE" w:rsidR="00387F15" w:rsidRDefault="007D220D" w:rsidP="007D220D">
      <w:pPr>
        <w:spacing w:line="360" w:lineRule="auto"/>
        <w:rPr>
          <w:b/>
          <w:bCs/>
          <w:sz w:val="24"/>
          <w:szCs w:val="24"/>
          <w:lang w:val="en"/>
        </w:rPr>
      </w:pPr>
      <w:r w:rsidRPr="00387F15">
        <w:rPr>
          <w:b/>
          <w:bCs/>
          <w:sz w:val="24"/>
          <w:szCs w:val="24"/>
          <w:lang w:val="en"/>
        </w:rPr>
        <w:t>DATA COLLECTION AND PRIVACY IN DIGITAL GAMES: ETHICAL AND REGULATORY IMPLICATIONS</w:t>
      </w:r>
    </w:p>
    <w:p w14:paraId="5FA5E9D2" w14:textId="77777777" w:rsidR="00387F15" w:rsidRDefault="00387F15" w:rsidP="00387F15">
      <w:pPr>
        <w:spacing w:line="360" w:lineRule="auto"/>
        <w:ind w:firstLine="709"/>
        <w:rPr>
          <w:b/>
          <w:bCs/>
          <w:sz w:val="24"/>
          <w:szCs w:val="24"/>
          <w:lang w:val="en"/>
        </w:rPr>
      </w:pPr>
    </w:p>
    <w:p w14:paraId="7DF943A1" w14:textId="797F9847" w:rsidR="00387F15" w:rsidRPr="007D220D" w:rsidRDefault="00387F15" w:rsidP="007D220D">
      <w:pPr>
        <w:spacing w:line="360" w:lineRule="auto"/>
        <w:ind w:firstLine="709"/>
        <w:jc w:val="right"/>
        <w:rPr>
          <w:szCs w:val="20"/>
          <w:lang w:val="pt-BR"/>
        </w:rPr>
      </w:pPr>
      <w:r w:rsidRPr="007D220D">
        <w:rPr>
          <w:szCs w:val="20"/>
          <w:lang w:val="pt-BR"/>
        </w:rPr>
        <w:t xml:space="preserve">Rafael </w:t>
      </w:r>
      <w:proofErr w:type="spellStart"/>
      <w:r w:rsidRPr="007D220D">
        <w:rPr>
          <w:szCs w:val="20"/>
          <w:lang w:val="pt-BR"/>
        </w:rPr>
        <w:t>Nhoncanse</w:t>
      </w:r>
      <w:proofErr w:type="spellEnd"/>
    </w:p>
    <w:p w14:paraId="75C352FC" w14:textId="7A801E37" w:rsidR="00387F15" w:rsidRPr="007D220D" w:rsidRDefault="00387F15" w:rsidP="007D220D">
      <w:pPr>
        <w:spacing w:line="360" w:lineRule="auto"/>
        <w:ind w:firstLine="709"/>
        <w:jc w:val="right"/>
        <w:rPr>
          <w:szCs w:val="20"/>
          <w:lang w:val="pt-BR"/>
        </w:rPr>
      </w:pPr>
      <w:r w:rsidRPr="007D220D">
        <w:rPr>
          <w:szCs w:val="20"/>
          <w:lang w:val="pt-BR"/>
        </w:rPr>
        <w:t>Gustavo</w:t>
      </w:r>
      <w:r w:rsidRPr="007D220D">
        <w:rPr>
          <w:b/>
          <w:bCs/>
          <w:szCs w:val="20"/>
          <w:lang w:val="pt-BR"/>
        </w:rPr>
        <w:t xml:space="preserve"> </w:t>
      </w:r>
      <w:r w:rsidR="007D220D" w:rsidRPr="007D220D">
        <w:rPr>
          <w:szCs w:val="20"/>
          <w:lang w:val="pt-BR"/>
        </w:rPr>
        <w:t>Cordeiro</w:t>
      </w:r>
    </w:p>
    <w:p w14:paraId="21323185" w14:textId="05A03161" w:rsidR="007D220D" w:rsidRPr="007D220D" w:rsidRDefault="007D220D" w:rsidP="007D220D">
      <w:pPr>
        <w:spacing w:line="360" w:lineRule="auto"/>
        <w:ind w:firstLine="709"/>
        <w:jc w:val="right"/>
        <w:rPr>
          <w:szCs w:val="20"/>
          <w:lang w:val="pt-BR"/>
        </w:rPr>
      </w:pPr>
      <w:proofErr w:type="spellStart"/>
      <w:r w:rsidRPr="007D220D">
        <w:rPr>
          <w:szCs w:val="20"/>
          <w:lang w:val="pt-BR"/>
        </w:rPr>
        <w:t>Cintya</w:t>
      </w:r>
      <w:proofErr w:type="spellEnd"/>
      <w:r w:rsidRPr="007D220D">
        <w:rPr>
          <w:szCs w:val="20"/>
          <w:lang w:val="pt-BR"/>
        </w:rPr>
        <w:t xml:space="preserve"> </w:t>
      </w:r>
      <w:proofErr w:type="spellStart"/>
      <w:r w:rsidRPr="007D220D">
        <w:rPr>
          <w:szCs w:val="20"/>
          <w:lang w:val="pt-BR"/>
        </w:rPr>
        <w:t>Apaza</w:t>
      </w:r>
      <w:proofErr w:type="spellEnd"/>
    </w:p>
    <w:p w14:paraId="3EEDEBE0" w14:textId="4A0E7815" w:rsidR="007D220D" w:rsidRPr="00387F15" w:rsidRDefault="007D220D" w:rsidP="007D220D">
      <w:pPr>
        <w:spacing w:line="360" w:lineRule="auto"/>
        <w:ind w:firstLine="709"/>
        <w:jc w:val="right"/>
        <w:rPr>
          <w:szCs w:val="20"/>
          <w:lang w:val="pt-BR"/>
        </w:rPr>
      </w:pPr>
      <w:r w:rsidRPr="007D220D">
        <w:rPr>
          <w:szCs w:val="20"/>
          <w:lang w:val="pt-BR"/>
        </w:rPr>
        <w:t>Felipe Noguchi</w:t>
      </w:r>
    </w:p>
    <w:p w14:paraId="7495EB98" w14:textId="77777777" w:rsidR="00387F15" w:rsidRPr="00387F15" w:rsidRDefault="00387F15" w:rsidP="00387F15">
      <w:pPr>
        <w:spacing w:line="360" w:lineRule="auto"/>
        <w:ind w:firstLine="709"/>
        <w:rPr>
          <w:lang w:val="pt-BR"/>
        </w:rPr>
      </w:pPr>
    </w:p>
    <w:p w14:paraId="5B74D7D8" w14:textId="7D645069" w:rsidR="00387F15" w:rsidRDefault="007D220D" w:rsidP="007D220D">
      <w:pPr>
        <w:pStyle w:val="Ttulo1"/>
        <w:spacing w:line="360" w:lineRule="auto"/>
        <w:rPr>
          <w:rFonts w:ascii="Arial" w:hAnsi="Arial" w:cs="Arial"/>
          <w:color w:val="auto"/>
          <w:sz w:val="24"/>
          <w:szCs w:val="24"/>
        </w:rPr>
      </w:pPr>
      <w:r w:rsidRPr="007D220D">
        <w:rPr>
          <w:rFonts w:ascii="Arial" w:hAnsi="Arial" w:cs="Arial"/>
          <w:color w:val="auto"/>
          <w:sz w:val="24"/>
          <w:szCs w:val="24"/>
        </w:rPr>
        <w:t>RESUMO</w:t>
      </w:r>
    </w:p>
    <w:p w14:paraId="4FAAD72D" w14:textId="77777777" w:rsidR="00BF5132" w:rsidRPr="00BF5132" w:rsidRDefault="00BF5132" w:rsidP="00BF5132"/>
    <w:p w14:paraId="5D1C9395" w14:textId="77777777" w:rsidR="00EC1330" w:rsidRPr="00387F15" w:rsidRDefault="00000000" w:rsidP="00387F15">
      <w:pPr>
        <w:spacing w:line="360" w:lineRule="auto"/>
        <w:ind w:firstLine="709"/>
        <w:rPr>
          <w:rFonts w:cs="Arial"/>
          <w:sz w:val="24"/>
          <w:szCs w:val="24"/>
        </w:rPr>
      </w:pPr>
      <w:r w:rsidRPr="00387F15">
        <w:rPr>
          <w:rFonts w:cs="Arial"/>
          <w:sz w:val="24"/>
          <w:szCs w:val="24"/>
        </w:rPr>
        <w:t xml:space="preserve">  Neste artigo, examinaremos detalhadamente as práticas de coleta de dados em jogos digitais, focando nas suas implicações diretas na privacidade dos usuários. A coleta de dados, que abrange desde informações demográficas até comportamentos de jogo e interações sociais, levanta questões éticas e legais que merecem atenção. Através de uma análise abrangente da literatura existente, buscaremos não apenas identificar os benefícios como a personalização da experiência do usuário e a otimização do engajamento, mas também os riscos significativos associados a essas práticas, como a potencial violação da privacidade e a manipulação de dados.</w:t>
      </w:r>
    </w:p>
    <w:p w14:paraId="2C56B198" w14:textId="06D54EB8" w:rsidR="00EC1330" w:rsidRDefault="00000000" w:rsidP="00387F15">
      <w:pPr>
        <w:spacing w:line="360" w:lineRule="auto"/>
        <w:ind w:firstLine="709"/>
        <w:rPr>
          <w:rFonts w:cs="Arial"/>
          <w:sz w:val="24"/>
          <w:szCs w:val="24"/>
        </w:rPr>
      </w:pPr>
      <w:r w:rsidRPr="00387F15">
        <w:rPr>
          <w:rFonts w:cs="Arial"/>
          <w:sz w:val="24"/>
          <w:szCs w:val="24"/>
        </w:rPr>
        <w:t xml:space="preserve">  Além disso, discutiremos a evolução das regulamentações de privacidade, como o Regulamento Geral sobre a Proteção de Dados (GDPR), e seu impacto nas práticas de coleta de dados na indústria de jogos. Proporemos recomendações práticas para que os desenvolvedores adotem uma abordagem mais ética e responsável em relação à privacidade dos jogadores, incluindo a necessidade de </w:t>
      </w:r>
      <w:r w:rsidRPr="00387F15">
        <w:rPr>
          <w:rFonts w:cs="Arial"/>
          <w:sz w:val="24"/>
          <w:szCs w:val="24"/>
        </w:rPr>
        <w:lastRenderedPageBreak/>
        <w:t xml:space="preserve">transparência nas políticas de coleta de dados e um maior envolvimento dos </w:t>
      </w:r>
      <w:proofErr w:type="spellStart"/>
      <w:r w:rsidRPr="00387F15">
        <w:rPr>
          <w:rFonts w:cs="Arial"/>
          <w:sz w:val="24"/>
          <w:szCs w:val="24"/>
        </w:rPr>
        <w:t>usuários</w:t>
      </w:r>
      <w:proofErr w:type="spellEnd"/>
      <w:r w:rsidRPr="00387F15">
        <w:rPr>
          <w:rFonts w:cs="Arial"/>
          <w:sz w:val="24"/>
          <w:szCs w:val="24"/>
        </w:rPr>
        <w:t xml:space="preserve"> </w:t>
      </w:r>
      <w:proofErr w:type="spellStart"/>
      <w:r w:rsidRPr="00387F15">
        <w:rPr>
          <w:rFonts w:cs="Arial"/>
          <w:sz w:val="24"/>
          <w:szCs w:val="24"/>
        </w:rPr>
        <w:t>nas</w:t>
      </w:r>
      <w:proofErr w:type="spellEnd"/>
      <w:r w:rsidRPr="00387F15">
        <w:rPr>
          <w:rFonts w:cs="Arial"/>
          <w:sz w:val="24"/>
          <w:szCs w:val="24"/>
        </w:rPr>
        <w:t xml:space="preserve"> </w:t>
      </w:r>
      <w:proofErr w:type="spellStart"/>
      <w:r w:rsidRPr="00387F15">
        <w:rPr>
          <w:rFonts w:cs="Arial"/>
          <w:sz w:val="24"/>
          <w:szCs w:val="24"/>
        </w:rPr>
        <w:t>decisões</w:t>
      </w:r>
      <w:proofErr w:type="spellEnd"/>
      <w:r w:rsidRPr="00387F15">
        <w:rPr>
          <w:rFonts w:cs="Arial"/>
          <w:sz w:val="24"/>
          <w:szCs w:val="24"/>
        </w:rPr>
        <w:t xml:space="preserve"> </w:t>
      </w:r>
      <w:proofErr w:type="spellStart"/>
      <w:r w:rsidRPr="00387F15">
        <w:rPr>
          <w:rFonts w:cs="Arial"/>
          <w:sz w:val="24"/>
          <w:szCs w:val="24"/>
        </w:rPr>
        <w:t>sobre</w:t>
      </w:r>
      <w:proofErr w:type="spellEnd"/>
      <w:r w:rsidRPr="00387F15">
        <w:rPr>
          <w:rFonts w:cs="Arial"/>
          <w:sz w:val="24"/>
          <w:szCs w:val="24"/>
        </w:rPr>
        <w:t xml:space="preserve"> </w:t>
      </w:r>
      <w:proofErr w:type="spellStart"/>
      <w:r w:rsidRPr="00387F15">
        <w:rPr>
          <w:rFonts w:cs="Arial"/>
          <w:sz w:val="24"/>
          <w:szCs w:val="24"/>
        </w:rPr>
        <w:t>seus</w:t>
      </w:r>
      <w:proofErr w:type="spellEnd"/>
      <w:r w:rsidRPr="00387F15">
        <w:rPr>
          <w:rFonts w:cs="Arial"/>
          <w:sz w:val="24"/>
          <w:szCs w:val="24"/>
        </w:rPr>
        <w:t xml:space="preserve"> dados </w:t>
      </w:r>
      <w:proofErr w:type="spellStart"/>
      <w:r w:rsidRPr="00387F15">
        <w:rPr>
          <w:rFonts w:cs="Arial"/>
          <w:sz w:val="24"/>
          <w:szCs w:val="24"/>
        </w:rPr>
        <w:t>pessoais</w:t>
      </w:r>
      <w:proofErr w:type="spellEnd"/>
      <w:r w:rsidR="00BF5132">
        <w:rPr>
          <w:rFonts w:cs="Arial"/>
          <w:sz w:val="24"/>
          <w:szCs w:val="24"/>
        </w:rPr>
        <w:t>.</w:t>
      </w:r>
    </w:p>
    <w:p w14:paraId="441AB726" w14:textId="39801C19" w:rsidR="007D220D" w:rsidRPr="00387F15" w:rsidRDefault="007D220D" w:rsidP="00387F15">
      <w:pPr>
        <w:spacing w:line="360" w:lineRule="auto"/>
        <w:ind w:firstLine="709"/>
        <w:rPr>
          <w:rFonts w:cs="Arial"/>
          <w:sz w:val="24"/>
          <w:szCs w:val="24"/>
        </w:rPr>
      </w:pPr>
      <w:r w:rsidRPr="00BF5132">
        <w:rPr>
          <w:rFonts w:cs="Arial"/>
          <w:b/>
          <w:bCs/>
          <w:sz w:val="24"/>
          <w:szCs w:val="24"/>
        </w:rPr>
        <w:t>Palavras</w:t>
      </w:r>
      <w:r w:rsidR="00BF5132" w:rsidRPr="00BF5132">
        <w:rPr>
          <w:rFonts w:cs="Arial"/>
          <w:b/>
          <w:bCs/>
          <w:sz w:val="24"/>
          <w:szCs w:val="24"/>
        </w:rPr>
        <w:t>-</w:t>
      </w:r>
      <w:r w:rsidRPr="00BF5132">
        <w:rPr>
          <w:rFonts w:cs="Arial"/>
          <w:b/>
          <w:bCs/>
          <w:sz w:val="24"/>
          <w:szCs w:val="24"/>
        </w:rPr>
        <w:t>chave:</w:t>
      </w:r>
      <w:r w:rsidRPr="00387F15">
        <w:rPr>
          <w:rFonts w:cs="Arial"/>
          <w:sz w:val="24"/>
          <w:szCs w:val="24"/>
        </w:rPr>
        <w:t xml:space="preserve"> </w:t>
      </w:r>
      <w:proofErr w:type="spellStart"/>
      <w:r w:rsidRPr="00387F15">
        <w:rPr>
          <w:rFonts w:cs="Arial"/>
          <w:sz w:val="24"/>
          <w:szCs w:val="24"/>
        </w:rPr>
        <w:t>Jogos</w:t>
      </w:r>
      <w:proofErr w:type="spellEnd"/>
      <w:r w:rsidRPr="00387F15">
        <w:rPr>
          <w:rFonts w:cs="Arial"/>
          <w:sz w:val="24"/>
          <w:szCs w:val="24"/>
        </w:rPr>
        <w:t xml:space="preserve"> </w:t>
      </w:r>
      <w:proofErr w:type="spellStart"/>
      <w:r w:rsidRPr="00387F15">
        <w:rPr>
          <w:rFonts w:cs="Arial"/>
          <w:sz w:val="24"/>
          <w:szCs w:val="24"/>
        </w:rPr>
        <w:t>Digitais</w:t>
      </w:r>
      <w:proofErr w:type="spellEnd"/>
      <w:r w:rsidRPr="00387F15">
        <w:rPr>
          <w:rFonts w:cs="Arial"/>
          <w:sz w:val="24"/>
          <w:szCs w:val="24"/>
        </w:rPr>
        <w:t xml:space="preserve">, Coleta de Dados, </w:t>
      </w:r>
      <w:proofErr w:type="spellStart"/>
      <w:r w:rsidRPr="00387F15">
        <w:rPr>
          <w:rFonts w:cs="Arial"/>
          <w:sz w:val="24"/>
          <w:szCs w:val="24"/>
        </w:rPr>
        <w:t>Privacidade</w:t>
      </w:r>
      <w:proofErr w:type="spellEnd"/>
      <w:r w:rsidRPr="00387F15">
        <w:rPr>
          <w:rFonts w:cs="Arial"/>
          <w:sz w:val="24"/>
          <w:szCs w:val="24"/>
        </w:rPr>
        <w:t xml:space="preserve"> do </w:t>
      </w:r>
      <w:proofErr w:type="spellStart"/>
      <w:r w:rsidRPr="00387F15">
        <w:rPr>
          <w:rFonts w:cs="Arial"/>
          <w:sz w:val="24"/>
          <w:szCs w:val="24"/>
        </w:rPr>
        <w:t>Usuário</w:t>
      </w:r>
      <w:proofErr w:type="spellEnd"/>
      <w:r w:rsidRPr="00387F15">
        <w:rPr>
          <w:rFonts w:cs="Arial"/>
          <w:sz w:val="24"/>
          <w:szCs w:val="24"/>
        </w:rPr>
        <w:t xml:space="preserve">, LGPD (Lei Geral de </w:t>
      </w:r>
      <w:proofErr w:type="spellStart"/>
      <w:r w:rsidRPr="00387F15">
        <w:rPr>
          <w:rFonts w:cs="Arial"/>
          <w:sz w:val="24"/>
          <w:szCs w:val="24"/>
        </w:rPr>
        <w:t>Proteção</w:t>
      </w:r>
      <w:proofErr w:type="spellEnd"/>
      <w:r w:rsidRPr="00387F15">
        <w:rPr>
          <w:rFonts w:cs="Arial"/>
          <w:sz w:val="24"/>
          <w:szCs w:val="24"/>
        </w:rPr>
        <w:t xml:space="preserve"> de Dados), </w:t>
      </w:r>
      <w:proofErr w:type="spellStart"/>
      <w:r w:rsidRPr="00387F15">
        <w:rPr>
          <w:rFonts w:cs="Arial"/>
          <w:sz w:val="24"/>
          <w:szCs w:val="24"/>
        </w:rPr>
        <w:t>Ética</w:t>
      </w:r>
      <w:proofErr w:type="spellEnd"/>
      <w:r w:rsidRPr="00387F15">
        <w:rPr>
          <w:rFonts w:cs="Arial"/>
          <w:sz w:val="24"/>
          <w:szCs w:val="24"/>
        </w:rPr>
        <w:t xml:space="preserve"> de Dados</w:t>
      </w:r>
      <w:r w:rsidR="00BF5132">
        <w:rPr>
          <w:rFonts w:cs="Arial"/>
          <w:sz w:val="24"/>
          <w:szCs w:val="24"/>
        </w:rPr>
        <w:t>.</w:t>
      </w:r>
    </w:p>
    <w:p w14:paraId="14E7CE5E" w14:textId="77777777" w:rsidR="00EC1330" w:rsidRDefault="00000000" w:rsidP="007D220D">
      <w:pPr>
        <w:pStyle w:val="Ttulo1"/>
        <w:spacing w:line="360" w:lineRule="auto"/>
        <w:rPr>
          <w:rFonts w:ascii="Arial" w:hAnsi="Arial" w:cs="Arial"/>
          <w:color w:val="auto"/>
          <w:sz w:val="24"/>
          <w:szCs w:val="24"/>
        </w:rPr>
      </w:pPr>
      <w:r w:rsidRPr="007D220D">
        <w:rPr>
          <w:rFonts w:ascii="Arial" w:hAnsi="Arial" w:cs="Arial"/>
          <w:color w:val="auto"/>
          <w:sz w:val="24"/>
          <w:szCs w:val="24"/>
        </w:rPr>
        <w:t>ABSTRACT</w:t>
      </w:r>
    </w:p>
    <w:p w14:paraId="35FD039E" w14:textId="77777777" w:rsidR="00BF5132" w:rsidRPr="00BF5132" w:rsidRDefault="00BF5132" w:rsidP="00BF5132"/>
    <w:p w14:paraId="1BE49DD4" w14:textId="77777777" w:rsidR="00EC1330" w:rsidRPr="00387F15" w:rsidRDefault="00000000" w:rsidP="00387F15">
      <w:pPr>
        <w:spacing w:line="360" w:lineRule="auto"/>
        <w:ind w:firstLine="709"/>
        <w:rPr>
          <w:rFonts w:cs="Arial"/>
          <w:sz w:val="24"/>
          <w:szCs w:val="24"/>
        </w:rPr>
      </w:pPr>
      <w:r w:rsidRPr="00387F15">
        <w:rPr>
          <w:rFonts w:cs="Arial"/>
          <w:sz w:val="24"/>
          <w:szCs w:val="24"/>
        </w:rPr>
        <w:t xml:space="preserve">  In this article, we will examine in detail the data collection practices in digital games, focusing on their direct implications for user privacy. Data collection, which ranges from demographic information to gaming behaviors and social interactions, raises ethical and legal questions that deserve attention. Through a comprehensive analysis of the existing literature, we will seek not only to identify the benefits such as personalization of the user experience and optimization of engagement, but also the significant risks associated with these practices, such as the potential violation of privacy and data manipulation.</w:t>
      </w:r>
    </w:p>
    <w:p w14:paraId="2C8791E7" w14:textId="77777777" w:rsidR="00EC1330" w:rsidRDefault="00000000" w:rsidP="00387F15">
      <w:pPr>
        <w:spacing w:line="360" w:lineRule="auto"/>
        <w:ind w:firstLine="709"/>
        <w:rPr>
          <w:rFonts w:cs="Arial"/>
          <w:sz w:val="24"/>
          <w:szCs w:val="24"/>
        </w:rPr>
      </w:pPr>
      <w:r w:rsidRPr="00387F15">
        <w:rPr>
          <w:rFonts w:cs="Arial"/>
          <w:sz w:val="24"/>
          <w:szCs w:val="24"/>
        </w:rPr>
        <w:t xml:space="preserve">  In addition, we will discuss the evolution of privacy regulations, such as the General Data Protection Regulation (GDPR), and its impact on data collection practices in the gaming industry. We will propose practical recommendations for developers to adopt a more ethical and responsible approach to player privacy, including the need for transparency in data collection policies and greater user involvement in decisions about their personal data.</w:t>
      </w:r>
    </w:p>
    <w:p w14:paraId="3CA0914A" w14:textId="77777777" w:rsidR="00BF5132" w:rsidRPr="00BF5132" w:rsidRDefault="00BF5132" w:rsidP="00BF5132">
      <w:pPr>
        <w:spacing w:line="360" w:lineRule="auto"/>
        <w:ind w:firstLine="709"/>
        <w:rPr>
          <w:rFonts w:cs="Arial"/>
          <w:sz w:val="24"/>
          <w:szCs w:val="24"/>
          <w:lang w:val="pt-BR"/>
        </w:rPr>
      </w:pPr>
      <w:r w:rsidRPr="00BF5132">
        <w:rPr>
          <w:rFonts w:cs="Arial"/>
          <w:b/>
          <w:bCs/>
          <w:sz w:val="24"/>
          <w:szCs w:val="24"/>
          <w:lang w:val="en"/>
        </w:rPr>
        <w:t>Keywords:</w:t>
      </w:r>
      <w:r w:rsidRPr="00BF5132">
        <w:rPr>
          <w:rFonts w:cs="Arial"/>
          <w:sz w:val="24"/>
          <w:szCs w:val="24"/>
          <w:lang w:val="en"/>
        </w:rPr>
        <w:t xml:space="preserve"> Digital Games, Data Collection, User Privacy, LGPD (General Data Protection Law), Data Ethics.</w:t>
      </w:r>
    </w:p>
    <w:p w14:paraId="57D99D87" w14:textId="77777777" w:rsidR="00BF5132" w:rsidRPr="00387F15" w:rsidRDefault="00BF5132" w:rsidP="00387F15">
      <w:pPr>
        <w:spacing w:line="360" w:lineRule="auto"/>
        <w:ind w:firstLine="709"/>
        <w:rPr>
          <w:rFonts w:cs="Arial"/>
          <w:sz w:val="24"/>
          <w:szCs w:val="24"/>
        </w:rPr>
      </w:pPr>
    </w:p>
    <w:p w14:paraId="67F5141F" w14:textId="77777777" w:rsidR="00EC1330" w:rsidRDefault="00000000" w:rsidP="00BF5132">
      <w:pPr>
        <w:pStyle w:val="Ttulo1"/>
        <w:spacing w:line="360" w:lineRule="auto"/>
        <w:rPr>
          <w:rFonts w:ascii="Arial" w:hAnsi="Arial" w:cs="Arial"/>
          <w:color w:val="auto"/>
          <w:sz w:val="24"/>
          <w:szCs w:val="24"/>
        </w:rPr>
      </w:pPr>
      <w:r w:rsidRPr="00BF5132">
        <w:rPr>
          <w:rFonts w:ascii="Arial" w:hAnsi="Arial" w:cs="Arial"/>
          <w:color w:val="auto"/>
          <w:sz w:val="24"/>
          <w:szCs w:val="24"/>
        </w:rPr>
        <w:t>INTRODUÇÃO</w:t>
      </w:r>
    </w:p>
    <w:p w14:paraId="17BBD447" w14:textId="77777777" w:rsidR="00BF5132" w:rsidRPr="00BF5132" w:rsidRDefault="00BF5132" w:rsidP="00BF5132"/>
    <w:p w14:paraId="4011D4DC" w14:textId="77777777" w:rsidR="00EC1330" w:rsidRPr="00387F15" w:rsidRDefault="00000000" w:rsidP="00387F15">
      <w:pPr>
        <w:spacing w:line="360" w:lineRule="auto"/>
        <w:ind w:firstLine="709"/>
        <w:rPr>
          <w:rFonts w:cs="Arial"/>
          <w:sz w:val="24"/>
          <w:szCs w:val="24"/>
        </w:rPr>
      </w:pPr>
      <w:r w:rsidRPr="00387F15">
        <w:rPr>
          <w:rFonts w:cs="Arial"/>
          <w:sz w:val="24"/>
          <w:szCs w:val="24"/>
        </w:rPr>
        <w:t xml:space="preserve"> A coleta de dados e a privacidade em jogos digitais emergem como questões críticas em um cenário onde a interatividade e a personalização se tornaram centrais para a experiência do usuário. À medida que os desenvolvedores buscam maneiras de otimizar o engajamento e a monetização, a quantidade de dados coletados durante </w:t>
      </w:r>
      <w:r w:rsidRPr="00387F15">
        <w:rPr>
          <w:rFonts w:cs="Arial"/>
          <w:sz w:val="24"/>
          <w:szCs w:val="24"/>
        </w:rPr>
        <w:lastRenderedPageBreak/>
        <w:t>o jogo aumentou exponencialmente. De acordo com Taneja et al. (2020), "os jogos modernos podem coletar uma ampla gama de dados, desde informações demográficas até comportamentos complexos de jogos, levantando preocupações significativas sobre a privacidade dos usuários".</w:t>
      </w:r>
    </w:p>
    <w:p w14:paraId="071FCF79" w14:textId="77777777" w:rsidR="00EC1330" w:rsidRPr="00387F15" w:rsidRDefault="00000000" w:rsidP="00387F15">
      <w:pPr>
        <w:spacing w:line="360" w:lineRule="auto"/>
        <w:ind w:firstLine="709"/>
        <w:rPr>
          <w:rFonts w:cs="Arial"/>
          <w:sz w:val="24"/>
          <w:szCs w:val="24"/>
        </w:rPr>
      </w:pPr>
      <w:r w:rsidRPr="00387F15">
        <w:rPr>
          <w:rFonts w:cs="Arial"/>
          <w:sz w:val="24"/>
          <w:szCs w:val="24"/>
        </w:rPr>
        <w:t xml:space="preserve">  A coleta de dados em jogos não se limita apenas a informações básicas; ela envolve também aspectos como hábitos de jogo, interações sociais e dados de localização, que podem ser utilizados para personalizar experiências e direcionar publicidade. Conforme discutido por Nardi et al. (2018), "a personalização em jogos frequentemente vem à custa da privacidade, uma vez que os jogadores muitas vezes não estão cientes do volume e da natureza dos dados que estão sendo coletados".</w:t>
      </w:r>
    </w:p>
    <w:p w14:paraId="6A66F65F" w14:textId="77777777" w:rsidR="00EC1330" w:rsidRPr="00387F15" w:rsidRDefault="00000000" w:rsidP="00387F15">
      <w:pPr>
        <w:spacing w:line="360" w:lineRule="auto"/>
        <w:ind w:firstLine="709"/>
        <w:rPr>
          <w:rFonts w:cs="Arial"/>
          <w:sz w:val="24"/>
          <w:szCs w:val="24"/>
        </w:rPr>
      </w:pPr>
      <w:r w:rsidRPr="00387F15">
        <w:rPr>
          <w:rFonts w:cs="Arial"/>
          <w:sz w:val="24"/>
          <w:szCs w:val="24"/>
        </w:rPr>
        <w:t xml:space="preserve">  Além disso, a regulamentação em torno da privacidade de dados tem evoluído para abordar essas preocupações. A pesquisa de Ghosh et al. (2021) indica que "as diretrizes como o GDPR têm um impacto direto sobre como os jogos digitais podem coletar e utilizar dados dos usuários, criando um novo paradigma de responsabilidade para os desenvolvedores". Contudo, muitos jogos ainda operam em áreas cinzentas, onde a transparência e a conformidade com regulamentações permanecem insuficientes.</w:t>
      </w:r>
    </w:p>
    <w:p w14:paraId="177B6F61" w14:textId="71524217" w:rsidR="00EC1330" w:rsidRDefault="00000000" w:rsidP="007D220D">
      <w:pPr>
        <w:spacing w:line="360" w:lineRule="auto"/>
        <w:ind w:firstLine="709"/>
        <w:rPr>
          <w:rFonts w:cs="Arial"/>
          <w:sz w:val="24"/>
          <w:szCs w:val="24"/>
        </w:rPr>
      </w:pPr>
      <w:r w:rsidRPr="00387F15">
        <w:rPr>
          <w:rFonts w:cs="Arial"/>
          <w:sz w:val="24"/>
          <w:szCs w:val="24"/>
        </w:rPr>
        <w:t xml:space="preserve">  Estudos têm mostrado que a percepção dos jogadores sobre privacidade pode influenciar suas decisões de jogo. Um trabalho de Dinev e Hart (2006) sugere que "a confiança do consumidor em como os dados são tratados é fundamental para a aceitação de jogos que coletam informações pessoais". Isso indica que a falta de transparência e de práticas éticas de coleta de dados pode resultar em desconfiança e, consequentemente, em um impacto negativo na experiência do usuário. O restante deste artigo está organizado da seguinte maneira: a Seção 1 apresenta outras revisões sobre temas relacionados à questão principal; a Seção 2 detalha a metodologia empregada para realizar a revisão e análise dos artigos; a Seção 3 detalha os resultados obtidos; a Seção 4 apresenta uma discussão sobre os resultados obtidos; e a Seção 5 </w:t>
      </w:r>
      <w:proofErr w:type="spellStart"/>
      <w:r w:rsidRPr="00387F15">
        <w:rPr>
          <w:rFonts w:cs="Arial"/>
          <w:sz w:val="24"/>
          <w:szCs w:val="24"/>
        </w:rPr>
        <w:t>apresenta</w:t>
      </w:r>
      <w:proofErr w:type="spellEnd"/>
      <w:r w:rsidRPr="00387F15">
        <w:rPr>
          <w:rFonts w:cs="Arial"/>
          <w:sz w:val="24"/>
          <w:szCs w:val="24"/>
        </w:rPr>
        <w:t xml:space="preserve"> as </w:t>
      </w:r>
      <w:proofErr w:type="spellStart"/>
      <w:r w:rsidRPr="00387F15">
        <w:rPr>
          <w:rFonts w:cs="Arial"/>
          <w:sz w:val="24"/>
          <w:szCs w:val="24"/>
        </w:rPr>
        <w:t>conclusões</w:t>
      </w:r>
      <w:proofErr w:type="spellEnd"/>
      <w:r w:rsidRPr="00387F15">
        <w:rPr>
          <w:rFonts w:cs="Arial"/>
          <w:sz w:val="24"/>
          <w:szCs w:val="24"/>
        </w:rPr>
        <w:t xml:space="preserve"> </w:t>
      </w:r>
      <w:proofErr w:type="spellStart"/>
      <w:r w:rsidRPr="00387F15">
        <w:rPr>
          <w:rFonts w:cs="Arial"/>
          <w:sz w:val="24"/>
          <w:szCs w:val="24"/>
        </w:rPr>
        <w:t>deste</w:t>
      </w:r>
      <w:proofErr w:type="spellEnd"/>
      <w:r w:rsidRPr="00387F15">
        <w:rPr>
          <w:rFonts w:cs="Arial"/>
          <w:sz w:val="24"/>
          <w:szCs w:val="24"/>
        </w:rPr>
        <w:t xml:space="preserve"> </w:t>
      </w:r>
      <w:proofErr w:type="spellStart"/>
      <w:r w:rsidRPr="00387F15">
        <w:rPr>
          <w:rFonts w:cs="Arial"/>
          <w:sz w:val="24"/>
          <w:szCs w:val="24"/>
        </w:rPr>
        <w:t>estudo</w:t>
      </w:r>
      <w:proofErr w:type="spellEnd"/>
      <w:r w:rsidR="00BF5132">
        <w:rPr>
          <w:rFonts w:cs="Arial"/>
          <w:sz w:val="24"/>
          <w:szCs w:val="24"/>
        </w:rPr>
        <w:t>.</w:t>
      </w:r>
      <w:r w:rsidRPr="00387F15">
        <w:rPr>
          <w:rFonts w:cs="Arial"/>
          <w:sz w:val="24"/>
          <w:szCs w:val="24"/>
        </w:rPr>
        <w:t>.</w:t>
      </w:r>
    </w:p>
    <w:p w14:paraId="45A416C2" w14:textId="77777777" w:rsidR="00071E25" w:rsidRPr="00387F15" w:rsidRDefault="00071E25" w:rsidP="007D220D">
      <w:pPr>
        <w:spacing w:line="360" w:lineRule="auto"/>
        <w:ind w:firstLine="709"/>
        <w:rPr>
          <w:rFonts w:cs="Arial"/>
          <w:sz w:val="24"/>
          <w:szCs w:val="24"/>
        </w:rPr>
      </w:pPr>
    </w:p>
    <w:p w14:paraId="756C9CE6" w14:textId="50AAC508" w:rsidR="00EC1330" w:rsidRDefault="00BF5132" w:rsidP="00BF5132">
      <w:pPr>
        <w:pStyle w:val="Ttulo1"/>
        <w:spacing w:line="360" w:lineRule="auto"/>
        <w:rPr>
          <w:rFonts w:ascii="Arial" w:hAnsi="Arial" w:cs="Arial"/>
          <w:color w:val="auto"/>
          <w:sz w:val="24"/>
          <w:szCs w:val="24"/>
        </w:rPr>
      </w:pPr>
      <w:r>
        <w:rPr>
          <w:rFonts w:ascii="Arial" w:hAnsi="Arial" w:cs="Arial"/>
          <w:color w:val="auto"/>
          <w:sz w:val="24"/>
          <w:szCs w:val="24"/>
        </w:rPr>
        <w:lastRenderedPageBreak/>
        <w:t xml:space="preserve">1 </w:t>
      </w:r>
      <w:r w:rsidRPr="00BF5132">
        <w:rPr>
          <w:rFonts w:ascii="Arial" w:hAnsi="Arial" w:cs="Arial"/>
          <w:color w:val="auto"/>
          <w:sz w:val="24"/>
          <w:szCs w:val="24"/>
        </w:rPr>
        <w:t>REFERENCIAL TEÓRICO</w:t>
      </w:r>
    </w:p>
    <w:p w14:paraId="1478CF50" w14:textId="77777777" w:rsidR="00BF5132" w:rsidRPr="00BF5132" w:rsidRDefault="00BF5132" w:rsidP="00BF5132"/>
    <w:p w14:paraId="62CC1A64" w14:textId="77777777" w:rsidR="00EC1330" w:rsidRPr="00387F15" w:rsidRDefault="00000000" w:rsidP="00387F15">
      <w:pPr>
        <w:spacing w:line="360" w:lineRule="auto"/>
        <w:ind w:firstLine="709"/>
        <w:rPr>
          <w:rFonts w:cs="Arial"/>
          <w:sz w:val="24"/>
          <w:szCs w:val="24"/>
        </w:rPr>
      </w:pPr>
      <w:r w:rsidRPr="00387F15">
        <w:rPr>
          <w:rFonts w:cs="Arial"/>
          <w:sz w:val="24"/>
          <w:szCs w:val="24"/>
        </w:rPr>
        <w:t>Historicamente, a concepção de privacidade evoluiu do clássico “direito de ser deixado só” para o moderno conceito de autodeterminação informativa. No cenário digital contemporâneo, esse conceito torna-se central ao empoderar o cidadão quanto ao controle e à finalidade da coleta de seus dados pessoais. No Brasil, o principal marco regulatório dessa mudança é a Lei Geral de Proteção de Dados (Lei nº 13.709/2018), que disciplina o ciclo de vida dos dados, desde a coleta até a exclusão definitiva.</w:t>
      </w:r>
    </w:p>
    <w:p w14:paraId="4B1D4B77" w14:textId="77777777" w:rsidR="00EC1330" w:rsidRPr="00387F15" w:rsidRDefault="00000000" w:rsidP="00387F15">
      <w:pPr>
        <w:spacing w:line="360" w:lineRule="auto"/>
        <w:ind w:firstLine="709"/>
        <w:rPr>
          <w:rFonts w:cs="Arial"/>
          <w:sz w:val="24"/>
          <w:szCs w:val="24"/>
        </w:rPr>
      </w:pPr>
      <w:r w:rsidRPr="00387F15">
        <w:rPr>
          <w:rFonts w:cs="Arial"/>
          <w:sz w:val="24"/>
          <w:szCs w:val="24"/>
        </w:rPr>
        <w:t>Segundo os preceitos da LGPD, a fundamentação do tratamento de dados deve observar pilares essenciais, como o princípio da finalidade, que restringe o uso do dado ao objetivo informado e a minimização, que limita a coleta ao estritamente necessário para a operação. Soma-se a isso a transparência, garantindo ao titular o livre acesso às informações sobre o tratamento de seus ativos digitais. Conforme defende Danilo Doneda, um dos precursores da norma no país, a proteção de dados deve ser compreendida como um direito de personalidade, consolidando a ideia de que o dado pessoal é, em última análise, uma extensão da própria pessoa.</w:t>
      </w:r>
    </w:p>
    <w:p w14:paraId="3DE4E59A" w14:textId="26E3E0CE" w:rsidR="00EC1330" w:rsidRDefault="00BF5132" w:rsidP="00BF5132">
      <w:pPr>
        <w:pStyle w:val="Ttulo1"/>
        <w:spacing w:line="360" w:lineRule="auto"/>
        <w:rPr>
          <w:rFonts w:ascii="Arial" w:hAnsi="Arial" w:cs="Arial"/>
          <w:color w:val="auto"/>
          <w:sz w:val="24"/>
          <w:szCs w:val="24"/>
        </w:rPr>
      </w:pPr>
      <w:r>
        <w:rPr>
          <w:rFonts w:ascii="Arial" w:hAnsi="Arial" w:cs="Arial"/>
          <w:color w:val="auto"/>
          <w:sz w:val="24"/>
          <w:szCs w:val="24"/>
        </w:rPr>
        <w:t xml:space="preserve">2 </w:t>
      </w:r>
      <w:r w:rsidRPr="00BF5132">
        <w:rPr>
          <w:rFonts w:ascii="Arial" w:hAnsi="Arial" w:cs="Arial"/>
          <w:color w:val="auto"/>
          <w:sz w:val="24"/>
          <w:szCs w:val="24"/>
        </w:rPr>
        <w:t>METODOLOGIA</w:t>
      </w:r>
      <w:r>
        <w:rPr>
          <w:rFonts w:ascii="Arial" w:hAnsi="Arial" w:cs="Arial"/>
          <w:color w:val="auto"/>
          <w:sz w:val="24"/>
          <w:szCs w:val="24"/>
        </w:rPr>
        <w:t xml:space="preserve"> DA REVISÃO</w:t>
      </w:r>
    </w:p>
    <w:p w14:paraId="43EC8C8D" w14:textId="77777777" w:rsidR="00BF5132" w:rsidRPr="00BF5132" w:rsidRDefault="00BF5132" w:rsidP="00BF5132"/>
    <w:p w14:paraId="114928D4" w14:textId="77777777" w:rsidR="00EC1330" w:rsidRPr="00387F15" w:rsidRDefault="00000000" w:rsidP="00387F15">
      <w:pPr>
        <w:spacing w:line="360" w:lineRule="auto"/>
        <w:ind w:firstLine="709"/>
        <w:rPr>
          <w:rFonts w:cs="Arial"/>
          <w:sz w:val="24"/>
          <w:szCs w:val="24"/>
        </w:rPr>
      </w:pPr>
      <w:r w:rsidRPr="00387F15">
        <w:rPr>
          <w:rFonts w:cs="Arial"/>
          <w:sz w:val="24"/>
          <w:szCs w:val="24"/>
        </w:rPr>
        <w:t>Este trabalho configura-se como uma revisão sistemática da literatura (RSL), método adequado para identificar, avaliar e sintetizar o conjunto de evidências disponíveis sobre um tema específico de forma rigorosa e replicável (KITCHENHAM, 2004). O objeto central de investigação é a relação entre a coleta de dados em jogos digitais e os impactos sobre a privacidade dos usuários, considerando aspectos técnicos, éticos e regulatórios.</w:t>
      </w:r>
    </w:p>
    <w:p w14:paraId="3EB0055D" w14:textId="77777777" w:rsidR="00EC1330" w:rsidRPr="00387F15" w:rsidRDefault="00000000" w:rsidP="00387F15">
      <w:pPr>
        <w:spacing w:line="360" w:lineRule="auto"/>
        <w:ind w:firstLine="709"/>
        <w:rPr>
          <w:rFonts w:cs="Arial"/>
          <w:sz w:val="24"/>
          <w:szCs w:val="24"/>
        </w:rPr>
      </w:pPr>
      <w:r w:rsidRPr="00387F15">
        <w:rPr>
          <w:rFonts w:cs="Arial"/>
          <w:sz w:val="24"/>
          <w:szCs w:val="24"/>
        </w:rPr>
        <w:t xml:space="preserve">A pesquisa bibliográfica foi conduzida nas bases de dados Google Scholar, IEEE Xplore, ACM Digital Library e Scopus, abrangendo publicações em português e inglês. Os termos de busca empregados foram combinações de descritores como "privacy in digital games", "data collection games", "LGPD jogos digitais", "GDPR gaming" e "user data ethics games". O recorte temporal contemplou publicações </w:t>
      </w:r>
      <w:r w:rsidRPr="00387F15">
        <w:rPr>
          <w:rFonts w:cs="Arial"/>
          <w:sz w:val="24"/>
          <w:szCs w:val="24"/>
        </w:rPr>
        <w:lastRenderedPageBreak/>
        <w:t>compreendidas entre 2004 e 2024, de modo a capturar tanto os estudos seminais quanto os desenvolvimentos mais recentes do campo.</w:t>
      </w:r>
    </w:p>
    <w:p w14:paraId="01CA8B0B" w14:textId="77777777" w:rsidR="00EC1330" w:rsidRPr="00387F15" w:rsidRDefault="00000000" w:rsidP="00387F15">
      <w:pPr>
        <w:spacing w:line="360" w:lineRule="auto"/>
        <w:ind w:firstLine="709"/>
        <w:rPr>
          <w:rFonts w:cs="Arial"/>
          <w:sz w:val="24"/>
          <w:szCs w:val="24"/>
        </w:rPr>
      </w:pPr>
      <w:r w:rsidRPr="00387F15">
        <w:rPr>
          <w:rFonts w:cs="Arial"/>
          <w:sz w:val="24"/>
          <w:szCs w:val="24"/>
        </w:rPr>
        <w:t>Adotaram-se critérios de inclusão e exclusão para a seleção dos materiais. Foram incluídos artigos científicos revisados por pares, capítulos de livros acadêmicos, legislações vigentes e documentos técnicos de organismos reconhecidos que abordassem diretamente a coleta de dados pessoais em ambientes de jogos digitais, a regulamentação de privacidade aplicável ao setor de entretenimento digital ou a percepção dos usuários sobre práticas de tratamento de dados. Foram excluídos trabalhos de opinião sem embasamento empírico, publicações anteriores a 2004 sem relevância histórica comprovada e estudos cujos objetos se distanciassem do escopo temático definido.</w:t>
      </w:r>
    </w:p>
    <w:p w14:paraId="5244D8B2" w14:textId="77777777" w:rsidR="00EC1330" w:rsidRPr="00387F15" w:rsidRDefault="00000000" w:rsidP="00387F15">
      <w:pPr>
        <w:spacing w:line="360" w:lineRule="auto"/>
        <w:ind w:firstLine="709"/>
        <w:rPr>
          <w:rFonts w:cs="Arial"/>
          <w:sz w:val="24"/>
          <w:szCs w:val="24"/>
        </w:rPr>
      </w:pPr>
      <w:r w:rsidRPr="00387F15">
        <w:rPr>
          <w:rFonts w:cs="Arial"/>
          <w:sz w:val="24"/>
          <w:szCs w:val="24"/>
        </w:rPr>
        <w:t>A análise dos materiais selecionados seguiu uma abordagem qualitativa, com ênfase na identificação de convergências, divergências e lacunas entre os achados. Os textos foram lidos integralmente e organizados em eixos temáticos, a saber: (i) panorama e tipos de dados coletados por plataformas de jogos; (ii) percepção e comportamento dos jogadores em relação à privacidade; (iii) arcabouço regulatório, com destaque para o Regulamento Geral sobre a Proteção de Dados (GDPR) e a Lei Geral de Proteção de Dados Pessoais (LGPD); e (iv) desafios éticos e responsabilidade dos desenvolvedores.</w:t>
      </w:r>
    </w:p>
    <w:p w14:paraId="363A0B3F" w14:textId="77777777" w:rsidR="00EC1330" w:rsidRPr="00387F15" w:rsidRDefault="00000000" w:rsidP="00387F15">
      <w:pPr>
        <w:spacing w:line="360" w:lineRule="auto"/>
        <w:ind w:firstLine="709"/>
        <w:rPr>
          <w:rFonts w:cs="Arial"/>
          <w:sz w:val="24"/>
          <w:szCs w:val="24"/>
        </w:rPr>
      </w:pPr>
      <w:r w:rsidRPr="00387F15">
        <w:rPr>
          <w:rFonts w:cs="Arial"/>
          <w:sz w:val="24"/>
          <w:szCs w:val="24"/>
        </w:rPr>
        <w:t>Para a análise do referencial normativo, recorreu-se diretamente ao texto da Lei nº 13.709/2018 (LGPD) e à doutrina especializada, em especial às contribuições de Danilo Doneda sobre proteção de dados como direito de personalidade. A interpretação dos princípios da finalidade, da minimização e da transparência foi realizada à luz das orientações da Autoridade Nacional de Proteção de Dados (ANPD) e da literatura jurídica pertinente.</w:t>
      </w:r>
    </w:p>
    <w:p w14:paraId="6BCE2D8D" w14:textId="77777777" w:rsidR="00EC1330" w:rsidRPr="00387F15" w:rsidRDefault="00000000" w:rsidP="00387F15">
      <w:pPr>
        <w:spacing w:line="360" w:lineRule="auto"/>
        <w:ind w:firstLine="709"/>
        <w:rPr>
          <w:rFonts w:cs="Arial"/>
          <w:sz w:val="24"/>
          <w:szCs w:val="24"/>
        </w:rPr>
      </w:pPr>
      <w:r w:rsidRPr="00387F15">
        <w:rPr>
          <w:rFonts w:cs="Arial"/>
          <w:sz w:val="24"/>
          <w:szCs w:val="24"/>
        </w:rPr>
        <w:t>Reconhece-se, como limitação metodológica, a possibilidade de viés de seleção inerente à escolha das bases de dados e dos descritores utilizados, bem como a ausência de estudos primários — como entrevistas ou questionários aplicados a jogadores e desenvolvedores — que permitissem uma triangulação empírica mais robusta. Tais aspectos abrem perspectiva para investigações futuras de caráter misto ou experimental.</w:t>
      </w:r>
    </w:p>
    <w:p w14:paraId="5FB666DE" w14:textId="7C9A2255" w:rsidR="00EC1330" w:rsidRDefault="00C17870" w:rsidP="00C17870">
      <w:pPr>
        <w:pStyle w:val="Ttulo1"/>
        <w:spacing w:line="360" w:lineRule="auto"/>
        <w:rPr>
          <w:rFonts w:ascii="Arial" w:hAnsi="Arial" w:cs="Arial"/>
          <w:color w:val="auto"/>
          <w:sz w:val="24"/>
          <w:szCs w:val="24"/>
        </w:rPr>
      </w:pPr>
      <w:r>
        <w:rPr>
          <w:rFonts w:ascii="Arial" w:hAnsi="Arial" w:cs="Arial"/>
          <w:color w:val="auto"/>
          <w:sz w:val="24"/>
          <w:szCs w:val="24"/>
        </w:rPr>
        <w:lastRenderedPageBreak/>
        <w:t xml:space="preserve">3 </w:t>
      </w:r>
      <w:r w:rsidRPr="00C17870">
        <w:rPr>
          <w:rFonts w:ascii="Arial" w:hAnsi="Arial" w:cs="Arial"/>
          <w:color w:val="auto"/>
          <w:sz w:val="24"/>
          <w:szCs w:val="24"/>
        </w:rPr>
        <w:t xml:space="preserve">RESULTADOS </w:t>
      </w:r>
      <w:r>
        <w:rPr>
          <w:rFonts w:ascii="Arial" w:hAnsi="Arial" w:cs="Arial"/>
          <w:color w:val="auto"/>
          <w:sz w:val="24"/>
          <w:szCs w:val="24"/>
        </w:rPr>
        <w:t>DA REVISÃO</w:t>
      </w:r>
    </w:p>
    <w:p w14:paraId="703004B1" w14:textId="77777777" w:rsidR="00C17870" w:rsidRPr="00C17870" w:rsidRDefault="00C17870" w:rsidP="00C17870"/>
    <w:p w14:paraId="73953B2C" w14:textId="77777777" w:rsidR="00EC1330" w:rsidRPr="00387F15" w:rsidRDefault="00000000" w:rsidP="00387F15">
      <w:pPr>
        <w:spacing w:line="360" w:lineRule="auto"/>
        <w:ind w:firstLine="709"/>
        <w:rPr>
          <w:rFonts w:cs="Arial"/>
          <w:sz w:val="24"/>
          <w:szCs w:val="24"/>
        </w:rPr>
      </w:pPr>
      <w:r w:rsidRPr="00387F15">
        <w:rPr>
          <w:rFonts w:cs="Arial"/>
          <w:sz w:val="24"/>
          <w:szCs w:val="24"/>
        </w:rPr>
        <w:t>A análise sistemática da literatura revelou padrões consistentes nas práticas de coleta, armazenamento e uso de dados pessoais em jogos digitais, bem como suas implicações éticas e regulatórias. Os estudos selecionados convergem ao demonstrar que a coleta de dados vai muito além das informações básicas, abrangendo hábitos de jogo, interações sociais, dados de localização e padrões comportamentais, sendo utilizados principalmente para personalização da experiência e direcionamento de publicidade.</w:t>
      </w:r>
    </w:p>
    <w:p w14:paraId="3F0BEFBC" w14:textId="77777777" w:rsidR="00EC1330" w:rsidRDefault="00000000" w:rsidP="00387F15">
      <w:pPr>
        <w:spacing w:line="360" w:lineRule="auto"/>
        <w:ind w:firstLine="709"/>
        <w:rPr>
          <w:rFonts w:cs="Arial"/>
          <w:sz w:val="24"/>
          <w:szCs w:val="24"/>
        </w:rPr>
      </w:pPr>
      <w:r w:rsidRPr="00387F15">
        <w:rPr>
          <w:rFonts w:cs="Arial"/>
          <w:sz w:val="24"/>
          <w:szCs w:val="24"/>
        </w:rPr>
        <w:t xml:space="preserve">Conforme Taneja et al. (2020), os jogos modernos coletam uma ampla gama de dados, desde informações demográficas até comportamentos complexos, gerando preocupações significativas sobre privacidade. Nardi et al. (2018) complementam que a personalização frequentemente ocorre à custa da privacidade, pois os jogadores raramente estão cientes do volume e da natureza dos dados coletados. Ghosh et al. (2021) destacam o impacto do GDPR na indústria, criando um novo paradigma de responsabilidade, embora muitos jogos ainda operem em áreas cinzentas. Dinev e Hart (2006) reforçam que a confiança do usuário no tratamento dos dados é essencial para a aceitação de </w:t>
      </w:r>
      <w:proofErr w:type="spellStart"/>
      <w:r w:rsidRPr="00387F15">
        <w:rPr>
          <w:rFonts w:cs="Arial"/>
          <w:sz w:val="24"/>
          <w:szCs w:val="24"/>
        </w:rPr>
        <w:t>jogos</w:t>
      </w:r>
      <w:proofErr w:type="spellEnd"/>
      <w:r w:rsidRPr="00387F15">
        <w:rPr>
          <w:rFonts w:cs="Arial"/>
          <w:sz w:val="24"/>
          <w:szCs w:val="24"/>
        </w:rPr>
        <w:t xml:space="preserve"> que </w:t>
      </w:r>
      <w:proofErr w:type="spellStart"/>
      <w:r w:rsidRPr="00387F15">
        <w:rPr>
          <w:rFonts w:cs="Arial"/>
          <w:sz w:val="24"/>
          <w:szCs w:val="24"/>
        </w:rPr>
        <w:t>coletam</w:t>
      </w:r>
      <w:proofErr w:type="spellEnd"/>
      <w:r w:rsidRPr="00387F15">
        <w:rPr>
          <w:rFonts w:cs="Arial"/>
          <w:sz w:val="24"/>
          <w:szCs w:val="24"/>
        </w:rPr>
        <w:t xml:space="preserve"> </w:t>
      </w:r>
      <w:proofErr w:type="spellStart"/>
      <w:r w:rsidRPr="00387F15">
        <w:rPr>
          <w:rFonts w:cs="Arial"/>
          <w:sz w:val="24"/>
          <w:szCs w:val="24"/>
        </w:rPr>
        <w:t>informações</w:t>
      </w:r>
      <w:proofErr w:type="spellEnd"/>
      <w:r w:rsidRPr="00387F15">
        <w:rPr>
          <w:rFonts w:cs="Arial"/>
          <w:sz w:val="24"/>
          <w:szCs w:val="24"/>
        </w:rPr>
        <w:t xml:space="preserve"> </w:t>
      </w:r>
      <w:proofErr w:type="spellStart"/>
      <w:r w:rsidRPr="00387F15">
        <w:rPr>
          <w:rFonts w:cs="Arial"/>
          <w:sz w:val="24"/>
          <w:szCs w:val="24"/>
        </w:rPr>
        <w:t>pessoais</w:t>
      </w:r>
      <w:proofErr w:type="spellEnd"/>
      <w:r w:rsidRPr="00387F15">
        <w:rPr>
          <w:rFonts w:cs="Arial"/>
          <w:sz w:val="24"/>
          <w:szCs w:val="24"/>
        </w:rPr>
        <w:t>.</w:t>
      </w:r>
    </w:p>
    <w:p w14:paraId="6F9BDC93" w14:textId="0462D340" w:rsidR="00C17870" w:rsidRDefault="00C17870" w:rsidP="00C17870">
      <w:pPr>
        <w:spacing w:line="360" w:lineRule="auto"/>
        <w:rPr>
          <w:rFonts w:cs="Arial"/>
          <w:b/>
          <w:bCs/>
          <w:sz w:val="24"/>
          <w:szCs w:val="24"/>
        </w:rPr>
      </w:pPr>
      <w:r w:rsidRPr="00C17870">
        <w:rPr>
          <w:rFonts w:cs="Arial"/>
          <w:b/>
          <w:bCs/>
          <w:sz w:val="24"/>
          <w:szCs w:val="24"/>
        </w:rPr>
        <w:t>3.1 LGPD E PRINCIPAIS ACHADOS DA LITERATU</w:t>
      </w:r>
      <w:r w:rsidR="00B30F81">
        <w:rPr>
          <w:rFonts w:cs="Arial"/>
          <w:b/>
          <w:bCs/>
          <w:sz w:val="24"/>
          <w:szCs w:val="24"/>
        </w:rPr>
        <w:t>R</w:t>
      </w:r>
      <w:r w:rsidRPr="00C17870">
        <w:rPr>
          <w:rFonts w:cs="Arial"/>
          <w:b/>
          <w:bCs/>
          <w:sz w:val="24"/>
          <w:szCs w:val="24"/>
        </w:rPr>
        <w:t>A</w:t>
      </w:r>
    </w:p>
    <w:p w14:paraId="7102A7B1" w14:textId="77777777" w:rsidR="00C17870" w:rsidRPr="00C17870" w:rsidRDefault="00C17870" w:rsidP="00C17870">
      <w:pPr>
        <w:spacing w:line="360" w:lineRule="auto"/>
        <w:rPr>
          <w:rFonts w:cs="Arial"/>
          <w:b/>
          <w:bCs/>
          <w:sz w:val="24"/>
          <w:szCs w:val="24"/>
        </w:rPr>
      </w:pPr>
    </w:p>
    <w:p w14:paraId="47F8D6BD" w14:textId="77777777" w:rsidR="00EC1330" w:rsidRPr="00387F15" w:rsidRDefault="00000000" w:rsidP="00387F15">
      <w:pPr>
        <w:spacing w:line="360" w:lineRule="auto"/>
        <w:ind w:firstLine="709"/>
        <w:rPr>
          <w:rFonts w:cs="Arial"/>
          <w:sz w:val="24"/>
          <w:szCs w:val="24"/>
        </w:rPr>
      </w:pPr>
      <w:r w:rsidRPr="00387F15">
        <w:rPr>
          <w:rFonts w:cs="Arial"/>
          <w:sz w:val="24"/>
          <w:szCs w:val="24"/>
        </w:rPr>
        <w:t>No contexto brasileiro, a Lei Geral de Proteção de Dados (LGPD – Lei nº 13.709/2018) estabelece princípios de finalidade, minimização e transparência que devem ser observados pelos desenvolvedores. No entanto, a literatura indica que a conformidade ainda é insuficiente, especialmente em jogos mobile e free-to-play.</w:t>
      </w:r>
    </w:p>
    <w:p w14:paraId="3B297B62" w14:textId="4A242F3E" w:rsidR="00C17870" w:rsidRDefault="00000000" w:rsidP="00134021">
      <w:pPr>
        <w:spacing w:line="360" w:lineRule="auto"/>
        <w:ind w:firstLine="709"/>
        <w:rPr>
          <w:rFonts w:cs="Arial"/>
          <w:sz w:val="24"/>
          <w:szCs w:val="24"/>
        </w:rPr>
      </w:pPr>
      <w:r w:rsidRPr="00387F15">
        <w:rPr>
          <w:rFonts w:cs="Arial"/>
          <w:sz w:val="24"/>
          <w:szCs w:val="24"/>
        </w:rPr>
        <w:t xml:space="preserve">Para </w:t>
      </w:r>
      <w:proofErr w:type="spellStart"/>
      <w:r w:rsidRPr="00387F15">
        <w:rPr>
          <w:rFonts w:cs="Arial"/>
          <w:sz w:val="24"/>
          <w:szCs w:val="24"/>
        </w:rPr>
        <w:t>sintetizar</w:t>
      </w:r>
      <w:proofErr w:type="spellEnd"/>
      <w:r w:rsidRPr="00387F15">
        <w:rPr>
          <w:rFonts w:cs="Arial"/>
          <w:sz w:val="24"/>
          <w:szCs w:val="24"/>
        </w:rPr>
        <w:t xml:space="preserve"> </w:t>
      </w:r>
      <w:proofErr w:type="spellStart"/>
      <w:r w:rsidRPr="00387F15">
        <w:rPr>
          <w:rFonts w:cs="Arial"/>
          <w:sz w:val="24"/>
          <w:szCs w:val="24"/>
        </w:rPr>
        <w:t>os</w:t>
      </w:r>
      <w:proofErr w:type="spellEnd"/>
      <w:r w:rsidRPr="00387F15">
        <w:rPr>
          <w:rFonts w:cs="Arial"/>
          <w:sz w:val="24"/>
          <w:szCs w:val="24"/>
        </w:rPr>
        <w:t xml:space="preserve"> </w:t>
      </w:r>
      <w:proofErr w:type="spellStart"/>
      <w:r w:rsidRPr="00387F15">
        <w:rPr>
          <w:rFonts w:cs="Arial"/>
          <w:sz w:val="24"/>
          <w:szCs w:val="24"/>
        </w:rPr>
        <w:t>achados</w:t>
      </w:r>
      <w:proofErr w:type="spellEnd"/>
      <w:r w:rsidRPr="00387F15">
        <w:rPr>
          <w:rFonts w:cs="Arial"/>
          <w:sz w:val="24"/>
          <w:szCs w:val="24"/>
        </w:rPr>
        <w:t xml:space="preserve">, </w:t>
      </w:r>
      <w:proofErr w:type="spellStart"/>
      <w:r w:rsidRPr="00387F15">
        <w:rPr>
          <w:rFonts w:cs="Arial"/>
          <w:sz w:val="24"/>
          <w:szCs w:val="24"/>
        </w:rPr>
        <w:t>apresenta</w:t>
      </w:r>
      <w:proofErr w:type="spellEnd"/>
      <w:r w:rsidRPr="00387F15">
        <w:rPr>
          <w:rFonts w:cs="Arial"/>
          <w:sz w:val="24"/>
          <w:szCs w:val="24"/>
        </w:rPr>
        <w:t>-</w:t>
      </w:r>
      <w:proofErr w:type="spellStart"/>
      <w:r w:rsidRPr="00387F15">
        <w:rPr>
          <w:rFonts w:cs="Arial"/>
          <w:sz w:val="24"/>
          <w:szCs w:val="24"/>
        </w:rPr>
        <w:t>se a</w:t>
      </w:r>
      <w:proofErr w:type="spellEnd"/>
      <w:r w:rsidRPr="00387F15">
        <w:rPr>
          <w:rFonts w:cs="Arial"/>
          <w:sz w:val="24"/>
          <w:szCs w:val="24"/>
        </w:rPr>
        <w:t xml:space="preserve"> </w:t>
      </w:r>
      <w:proofErr w:type="spellStart"/>
      <w:r w:rsidRPr="00387F15">
        <w:rPr>
          <w:rFonts w:cs="Arial"/>
          <w:sz w:val="24"/>
          <w:szCs w:val="24"/>
        </w:rPr>
        <w:t>Tabela</w:t>
      </w:r>
      <w:proofErr w:type="spellEnd"/>
      <w:r w:rsidRPr="00387F15">
        <w:rPr>
          <w:rFonts w:cs="Arial"/>
          <w:sz w:val="24"/>
          <w:szCs w:val="24"/>
        </w:rPr>
        <w:t xml:space="preserve"> 1:</w:t>
      </w:r>
    </w:p>
    <w:p w14:paraId="3C909A51" w14:textId="77777777" w:rsidR="00134021" w:rsidRDefault="00134021" w:rsidP="00134021">
      <w:pPr>
        <w:spacing w:line="360" w:lineRule="auto"/>
        <w:ind w:firstLine="709"/>
        <w:rPr>
          <w:rFonts w:cs="Arial"/>
          <w:sz w:val="24"/>
          <w:szCs w:val="24"/>
        </w:rPr>
      </w:pPr>
    </w:p>
    <w:p w14:paraId="605135B1" w14:textId="77777777" w:rsidR="00C17870" w:rsidRDefault="00C17870" w:rsidP="00387F15">
      <w:pPr>
        <w:spacing w:line="360" w:lineRule="auto"/>
        <w:ind w:firstLine="709"/>
        <w:rPr>
          <w:rFonts w:cs="Arial"/>
          <w:sz w:val="24"/>
          <w:szCs w:val="24"/>
        </w:rPr>
      </w:pPr>
    </w:p>
    <w:p w14:paraId="213D75FA" w14:textId="77777777" w:rsidR="00071E25" w:rsidRDefault="00071E25" w:rsidP="00387F15">
      <w:pPr>
        <w:spacing w:line="360" w:lineRule="auto"/>
        <w:ind w:firstLine="709"/>
        <w:rPr>
          <w:rFonts w:cs="Arial"/>
          <w:sz w:val="24"/>
          <w:szCs w:val="24"/>
        </w:rPr>
      </w:pPr>
    </w:p>
    <w:p w14:paraId="35235245" w14:textId="77777777" w:rsidR="00071E25" w:rsidRDefault="00071E25" w:rsidP="00387F15">
      <w:pPr>
        <w:spacing w:line="360" w:lineRule="auto"/>
        <w:ind w:firstLine="709"/>
        <w:rPr>
          <w:rFonts w:cs="Arial"/>
          <w:sz w:val="24"/>
          <w:szCs w:val="24"/>
        </w:rPr>
      </w:pPr>
    </w:p>
    <w:p w14:paraId="6FCE7063" w14:textId="77777777" w:rsidR="00C17870" w:rsidRPr="00387F15" w:rsidRDefault="00C17870" w:rsidP="00387F15">
      <w:pPr>
        <w:spacing w:line="360" w:lineRule="auto"/>
        <w:ind w:firstLine="709"/>
        <w:rPr>
          <w:rFonts w:cs="Arial"/>
          <w:sz w:val="24"/>
          <w:szCs w:val="24"/>
        </w:rPr>
      </w:pPr>
    </w:p>
    <w:p w14:paraId="4304AF7C" w14:textId="73D5F3F1" w:rsidR="00C17870" w:rsidRPr="00B30F81" w:rsidRDefault="00B30F81" w:rsidP="00C17870">
      <w:pPr>
        <w:pStyle w:val="Legenda"/>
        <w:spacing w:line="360" w:lineRule="auto"/>
        <w:rPr>
          <w:rFonts w:cs="Arial"/>
          <w:color w:val="auto"/>
          <w:sz w:val="24"/>
          <w:szCs w:val="24"/>
        </w:rPr>
      </w:pPr>
      <w:r w:rsidRPr="00B30F81">
        <w:rPr>
          <w:rFonts w:cs="Arial"/>
          <w:color w:val="auto"/>
          <w:sz w:val="24"/>
          <w:szCs w:val="24"/>
        </w:rPr>
        <w:t>TABELA 1</w:t>
      </w:r>
      <w:r>
        <w:rPr>
          <w:rFonts w:cs="Arial"/>
          <w:color w:val="auto"/>
          <w:sz w:val="24"/>
          <w:szCs w:val="24"/>
        </w:rPr>
        <w:t xml:space="preserve"> - </w:t>
      </w:r>
      <w:r w:rsidRPr="00B30F81">
        <w:rPr>
          <w:rFonts w:cs="Arial"/>
          <w:color w:val="auto"/>
          <w:sz w:val="24"/>
          <w:szCs w:val="24"/>
        </w:rPr>
        <w:t>RESUMO DOS PRINCIPAIS ACHADOS DA LITERATURA</w:t>
      </w:r>
    </w:p>
    <w:tbl>
      <w:tblPr>
        <w:tblStyle w:val="Tabelacomgrade"/>
        <w:tblW w:w="0" w:type="auto"/>
        <w:tblLook w:val="04A0" w:firstRow="1" w:lastRow="0" w:firstColumn="1" w:lastColumn="0" w:noHBand="0" w:noVBand="1"/>
      </w:tblPr>
      <w:tblGrid>
        <w:gridCol w:w="1541"/>
        <w:gridCol w:w="1494"/>
        <w:gridCol w:w="2124"/>
        <w:gridCol w:w="2125"/>
        <w:gridCol w:w="1777"/>
      </w:tblGrid>
      <w:tr w:rsidR="00EC1330" w:rsidRPr="00387F15" w14:paraId="574F21E8" w14:textId="77777777">
        <w:tc>
          <w:tcPr>
            <w:tcW w:w="1728" w:type="dxa"/>
          </w:tcPr>
          <w:p w14:paraId="59FBCACB" w14:textId="77777777" w:rsidR="00EC1330" w:rsidRPr="00387F15" w:rsidRDefault="00000000" w:rsidP="00B30F81">
            <w:pPr>
              <w:spacing w:line="360" w:lineRule="auto"/>
              <w:rPr>
                <w:rFonts w:cs="Arial"/>
                <w:sz w:val="24"/>
                <w:szCs w:val="24"/>
              </w:rPr>
            </w:pPr>
            <w:r w:rsidRPr="00387F15">
              <w:rPr>
                <w:rFonts w:cs="Arial"/>
                <w:sz w:val="24"/>
                <w:szCs w:val="24"/>
              </w:rPr>
              <w:t>Artigo</w:t>
            </w:r>
          </w:p>
        </w:tc>
        <w:tc>
          <w:tcPr>
            <w:tcW w:w="1728" w:type="dxa"/>
          </w:tcPr>
          <w:p w14:paraId="2B9FBD77" w14:textId="77777777" w:rsidR="00EC1330" w:rsidRPr="00387F15" w:rsidRDefault="00000000" w:rsidP="00B30F81">
            <w:pPr>
              <w:spacing w:line="360" w:lineRule="auto"/>
              <w:rPr>
                <w:rFonts w:cs="Arial"/>
                <w:sz w:val="24"/>
                <w:szCs w:val="24"/>
              </w:rPr>
            </w:pPr>
            <w:r w:rsidRPr="00387F15">
              <w:rPr>
                <w:rFonts w:cs="Arial"/>
                <w:sz w:val="24"/>
                <w:szCs w:val="24"/>
              </w:rPr>
              <w:t>Ano</w:t>
            </w:r>
          </w:p>
        </w:tc>
        <w:tc>
          <w:tcPr>
            <w:tcW w:w="1728" w:type="dxa"/>
          </w:tcPr>
          <w:p w14:paraId="2A345167" w14:textId="77777777" w:rsidR="00EC1330" w:rsidRPr="00387F15" w:rsidRDefault="00000000" w:rsidP="00C17870">
            <w:pPr>
              <w:spacing w:line="360" w:lineRule="auto"/>
              <w:rPr>
                <w:rFonts w:cs="Arial"/>
                <w:sz w:val="24"/>
                <w:szCs w:val="24"/>
              </w:rPr>
            </w:pPr>
            <w:r w:rsidRPr="00387F15">
              <w:rPr>
                <w:rFonts w:cs="Arial"/>
                <w:sz w:val="24"/>
                <w:szCs w:val="24"/>
              </w:rPr>
              <w:t>Principais dados coletados</w:t>
            </w:r>
          </w:p>
        </w:tc>
        <w:tc>
          <w:tcPr>
            <w:tcW w:w="1728" w:type="dxa"/>
          </w:tcPr>
          <w:p w14:paraId="3423A7B9" w14:textId="3E8A0D37" w:rsidR="00EC1330" w:rsidRPr="00387F15" w:rsidRDefault="00000000" w:rsidP="00C17870">
            <w:pPr>
              <w:spacing w:line="360" w:lineRule="auto"/>
              <w:rPr>
                <w:rFonts w:cs="Arial"/>
                <w:sz w:val="24"/>
                <w:szCs w:val="24"/>
              </w:rPr>
            </w:pPr>
            <w:proofErr w:type="spellStart"/>
            <w:r w:rsidRPr="00387F15">
              <w:rPr>
                <w:rFonts w:cs="Arial"/>
                <w:sz w:val="24"/>
                <w:szCs w:val="24"/>
              </w:rPr>
              <w:t>Implicações</w:t>
            </w:r>
            <w:proofErr w:type="spellEnd"/>
            <w:r w:rsidRPr="00387F15">
              <w:rPr>
                <w:rFonts w:cs="Arial"/>
                <w:sz w:val="24"/>
                <w:szCs w:val="24"/>
              </w:rPr>
              <w:t xml:space="preserve"> </w:t>
            </w:r>
            <w:proofErr w:type="spellStart"/>
            <w:r w:rsidRPr="00387F15">
              <w:rPr>
                <w:rFonts w:cs="Arial"/>
                <w:sz w:val="24"/>
                <w:szCs w:val="24"/>
              </w:rPr>
              <w:t>éticas</w:t>
            </w:r>
            <w:proofErr w:type="spellEnd"/>
            <w:r w:rsidRPr="00387F15">
              <w:rPr>
                <w:rFonts w:cs="Arial"/>
                <w:sz w:val="24"/>
                <w:szCs w:val="24"/>
              </w:rPr>
              <w:t xml:space="preserve"> </w:t>
            </w:r>
            <w:proofErr w:type="spellStart"/>
            <w:r w:rsidRPr="00387F15">
              <w:rPr>
                <w:rFonts w:cs="Arial"/>
                <w:sz w:val="24"/>
                <w:szCs w:val="24"/>
              </w:rPr>
              <w:t>principais</w:t>
            </w:r>
            <w:proofErr w:type="spellEnd"/>
          </w:p>
        </w:tc>
        <w:tc>
          <w:tcPr>
            <w:tcW w:w="1728" w:type="dxa"/>
          </w:tcPr>
          <w:p w14:paraId="56E62CBD" w14:textId="4A992CD8" w:rsidR="00EC1330" w:rsidRPr="00387F15" w:rsidRDefault="00000000" w:rsidP="00C17870">
            <w:pPr>
              <w:spacing w:line="360" w:lineRule="auto"/>
              <w:rPr>
                <w:rFonts w:cs="Arial"/>
                <w:sz w:val="24"/>
                <w:szCs w:val="24"/>
              </w:rPr>
            </w:pPr>
            <w:proofErr w:type="spellStart"/>
            <w:r w:rsidRPr="00387F15">
              <w:rPr>
                <w:rFonts w:cs="Arial"/>
                <w:sz w:val="24"/>
                <w:szCs w:val="24"/>
              </w:rPr>
              <w:t>Relação</w:t>
            </w:r>
            <w:proofErr w:type="spellEnd"/>
            <w:r w:rsidRPr="00387F15">
              <w:rPr>
                <w:rFonts w:cs="Arial"/>
                <w:sz w:val="24"/>
                <w:szCs w:val="24"/>
              </w:rPr>
              <w:t xml:space="preserve"> com LGPD/GDPR</w:t>
            </w:r>
          </w:p>
        </w:tc>
      </w:tr>
      <w:tr w:rsidR="00EC1330" w:rsidRPr="00387F15" w14:paraId="3ED3EF27" w14:textId="77777777">
        <w:tc>
          <w:tcPr>
            <w:tcW w:w="1728" w:type="dxa"/>
          </w:tcPr>
          <w:p w14:paraId="11D4938E" w14:textId="77777777" w:rsidR="00EC1330" w:rsidRPr="00387F15" w:rsidRDefault="00000000" w:rsidP="00C17870">
            <w:pPr>
              <w:spacing w:line="360" w:lineRule="auto"/>
              <w:rPr>
                <w:rFonts w:cs="Arial"/>
                <w:sz w:val="24"/>
                <w:szCs w:val="24"/>
              </w:rPr>
            </w:pPr>
            <w:r w:rsidRPr="00387F15">
              <w:rPr>
                <w:rFonts w:cs="Arial"/>
                <w:sz w:val="24"/>
                <w:szCs w:val="24"/>
              </w:rPr>
              <w:t>Taneja et al.</w:t>
            </w:r>
          </w:p>
        </w:tc>
        <w:tc>
          <w:tcPr>
            <w:tcW w:w="1728" w:type="dxa"/>
          </w:tcPr>
          <w:p w14:paraId="232D72FF" w14:textId="77777777" w:rsidR="00EC1330" w:rsidRPr="00387F15" w:rsidRDefault="00000000" w:rsidP="00B30F81">
            <w:pPr>
              <w:spacing w:line="360" w:lineRule="auto"/>
              <w:rPr>
                <w:rFonts w:cs="Arial"/>
                <w:sz w:val="24"/>
                <w:szCs w:val="24"/>
              </w:rPr>
            </w:pPr>
            <w:r w:rsidRPr="00387F15">
              <w:rPr>
                <w:rFonts w:cs="Arial"/>
                <w:sz w:val="24"/>
                <w:szCs w:val="24"/>
              </w:rPr>
              <w:t>2020</w:t>
            </w:r>
          </w:p>
        </w:tc>
        <w:tc>
          <w:tcPr>
            <w:tcW w:w="1728" w:type="dxa"/>
          </w:tcPr>
          <w:p w14:paraId="21A17442" w14:textId="77777777" w:rsidR="00EC1330" w:rsidRPr="00387F15" w:rsidRDefault="00000000" w:rsidP="00C17870">
            <w:pPr>
              <w:spacing w:line="360" w:lineRule="auto"/>
              <w:rPr>
                <w:rFonts w:cs="Arial"/>
                <w:sz w:val="24"/>
                <w:szCs w:val="24"/>
              </w:rPr>
            </w:pPr>
            <w:r w:rsidRPr="00387F15">
              <w:rPr>
                <w:rFonts w:cs="Arial"/>
                <w:sz w:val="24"/>
                <w:szCs w:val="24"/>
              </w:rPr>
              <w:t>Demográficos, comportamentais, interações sociais</w:t>
            </w:r>
          </w:p>
        </w:tc>
        <w:tc>
          <w:tcPr>
            <w:tcW w:w="1728" w:type="dxa"/>
          </w:tcPr>
          <w:p w14:paraId="49F5D6BA" w14:textId="77777777" w:rsidR="00EC1330" w:rsidRPr="00387F15" w:rsidRDefault="00000000" w:rsidP="00C17870">
            <w:pPr>
              <w:spacing w:line="360" w:lineRule="auto"/>
              <w:rPr>
                <w:rFonts w:cs="Arial"/>
                <w:sz w:val="24"/>
                <w:szCs w:val="24"/>
              </w:rPr>
            </w:pPr>
            <w:r w:rsidRPr="00387F15">
              <w:rPr>
                <w:rFonts w:cs="Arial"/>
                <w:sz w:val="24"/>
                <w:szCs w:val="24"/>
              </w:rPr>
              <w:t>Violação de privacidade e manipulação comportamental</w:t>
            </w:r>
          </w:p>
        </w:tc>
        <w:tc>
          <w:tcPr>
            <w:tcW w:w="1728" w:type="dxa"/>
          </w:tcPr>
          <w:p w14:paraId="773B73BC" w14:textId="1F3BB990" w:rsidR="00EC1330" w:rsidRPr="00387F15" w:rsidRDefault="00000000" w:rsidP="00C17870">
            <w:pPr>
              <w:spacing w:line="360" w:lineRule="auto"/>
              <w:rPr>
                <w:rFonts w:cs="Arial"/>
                <w:sz w:val="24"/>
                <w:szCs w:val="24"/>
              </w:rPr>
            </w:pPr>
            <w:proofErr w:type="spellStart"/>
            <w:r w:rsidRPr="00387F15">
              <w:rPr>
                <w:rFonts w:cs="Arial"/>
                <w:sz w:val="24"/>
                <w:szCs w:val="24"/>
              </w:rPr>
              <w:t>Necessidade</w:t>
            </w:r>
            <w:proofErr w:type="spellEnd"/>
            <w:r w:rsidRPr="00387F15">
              <w:rPr>
                <w:rFonts w:cs="Arial"/>
                <w:sz w:val="24"/>
                <w:szCs w:val="24"/>
              </w:rPr>
              <w:t xml:space="preserve"> de</w:t>
            </w:r>
            <w:r w:rsidR="00C17870">
              <w:rPr>
                <w:rFonts w:cs="Arial"/>
                <w:sz w:val="24"/>
                <w:szCs w:val="24"/>
              </w:rPr>
              <w:t xml:space="preserve"> </w:t>
            </w:r>
            <w:proofErr w:type="spellStart"/>
            <w:r w:rsidRPr="00387F15">
              <w:rPr>
                <w:rFonts w:cs="Arial"/>
                <w:sz w:val="24"/>
                <w:szCs w:val="24"/>
              </w:rPr>
              <w:t>consentimento</w:t>
            </w:r>
            <w:proofErr w:type="spellEnd"/>
            <w:r w:rsidRPr="00387F15">
              <w:rPr>
                <w:rFonts w:cs="Arial"/>
                <w:sz w:val="24"/>
                <w:szCs w:val="24"/>
              </w:rPr>
              <w:t xml:space="preserve"> </w:t>
            </w:r>
            <w:proofErr w:type="spellStart"/>
            <w:r w:rsidRPr="00387F15">
              <w:rPr>
                <w:rFonts w:cs="Arial"/>
                <w:sz w:val="24"/>
                <w:szCs w:val="24"/>
              </w:rPr>
              <w:t>explícito</w:t>
            </w:r>
            <w:proofErr w:type="spellEnd"/>
            <w:r w:rsidRPr="00387F15">
              <w:rPr>
                <w:rFonts w:cs="Arial"/>
                <w:sz w:val="24"/>
                <w:szCs w:val="24"/>
              </w:rPr>
              <w:t xml:space="preserve"> e </w:t>
            </w:r>
            <w:proofErr w:type="spellStart"/>
            <w:r w:rsidRPr="00387F15">
              <w:rPr>
                <w:rFonts w:cs="Arial"/>
                <w:sz w:val="24"/>
                <w:szCs w:val="24"/>
              </w:rPr>
              <w:t>transparência</w:t>
            </w:r>
            <w:proofErr w:type="spellEnd"/>
          </w:p>
        </w:tc>
      </w:tr>
      <w:tr w:rsidR="00EC1330" w:rsidRPr="00387F15" w14:paraId="6B9089B1" w14:textId="77777777">
        <w:tc>
          <w:tcPr>
            <w:tcW w:w="1728" w:type="dxa"/>
          </w:tcPr>
          <w:p w14:paraId="638A8EBF" w14:textId="77777777" w:rsidR="00EC1330" w:rsidRPr="00387F15" w:rsidRDefault="00000000" w:rsidP="00C17870">
            <w:pPr>
              <w:spacing w:line="360" w:lineRule="auto"/>
              <w:rPr>
                <w:rFonts w:cs="Arial"/>
                <w:sz w:val="24"/>
                <w:szCs w:val="24"/>
              </w:rPr>
            </w:pPr>
            <w:r w:rsidRPr="00387F15">
              <w:rPr>
                <w:rFonts w:cs="Arial"/>
                <w:sz w:val="24"/>
                <w:szCs w:val="24"/>
              </w:rPr>
              <w:t>Nardi et al.</w:t>
            </w:r>
          </w:p>
        </w:tc>
        <w:tc>
          <w:tcPr>
            <w:tcW w:w="1728" w:type="dxa"/>
          </w:tcPr>
          <w:p w14:paraId="55931E96" w14:textId="77777777" w:rsidR="00EC1330" w:rsidRPr="00387F15" w:rsidRDefault="00000000" w:rsidP="00B30F81">
            <w:pPr>
              <w:spacing w:line="360" w:lineRule="auto"/>
              <w:rPr>
                <w:rFonts w:cs="Arial"/>
                <w:sz w:val="24"/>
                <w:szCs w:val="24"/>
              </w:rPr>
            </w:pPr>
            <w:r w:rsidRPr="00387F15">
              <w:rPr>
                <w:rFonts w:cs="Arial"/>
                <w:sz w:val="24"/>
                <w:szCs w:val="24"/>
              </w:rPr>
              <w:t>2018</w:t>
            </w:r>
          </w:p>
        </w:tc>
        <w:tc>
          <w:tcPr>
            <w:tcW w:w="1728" w:type="dxa"/>
          </w:tcPr>
          <w:p w14:paraId="08093B3C" w14:textId="77777777" w:rsidR="00EC1330" w:rsidRPr="00387F15" w:rsidRDefault="00000000" w:rsidP="00C17870">
            <w:pPr>
              <w:spacing w:line="360" w:lineRule="auto"/>
              <w:rPr>
                <w:rFonts w:cs="Arial"/>
                <w:sz w:val="24"/>
                <w:szCs w:val="24"/>
              </w:rPr>
            </w:pPr>
            <w:r w:rsidRPr="00387F15">
              <w:rPr>
                <w:rFonts w:cs="Arial"/>
                <w:sz w:val="24"/>
                <w:szCs w:val="24"/>
              </w:rPr>
              <w:t>Hábitos de jogo, localização, dados sociais</w:t>
            </w:r>
          </w:p>
        </w:tc>
        <w:tc>
          <w:tcPr>
            <w:tcW w:w="1728" w:type="dxa"/>
          </w:tcPr>
          <w:p w14:paraId="65321EFF" w14:textId="2AB2A219" w:rsidR="00EC1330" w:rsidRPr="00387F15" w:rsidRDefault="00000000" w:rsidP="00C17870">
            <w:pPr>
              <w:spacing w:line="360" w:lineRule="auto"/>
              <w:rPr>
                <w:rFonts w:cs="Arial"/>
                <w:sz w:val="24"/>
                <w:szCs w:val="24"/>
              </w:rPr>
            </w:pPr>
            <w:r w:rsidRPr="00387F15">
              <w:rPr>
                <w:rFonts w:cs="Arial"/>
                <w:sz w:val="24"/>
                <w:szCs w:val="24"/>
              </w:rPr>
              <w:t>Falta</w:t>
            </w:r>
            <w:r w:rsidR="00B30F81">
              <w:rPr>
                <w:rFonts w:cs="Arial"/>
                <w:sz w:val="24"/>
                <w:szCs w:val="24"/>
              </w:rPr>
              <w:t xml:space="preserve"> </w:t>
            </w:r>
            <w:r w:rsidRPr="00387F15">
              <w:rPr>
                <w:rFonts w:cs="Arial"/>
                <w:sz w:val="24"/>
                <w:szCs w:val="24"/>
              </w:rPr>
              <w:t>de awareness do jogador</w:t>
            </w:r>
          </w:p>
        </w:tc>
        <w:tc>
          <w:tcPr>
            <w:tcW w:w="1728" w:type="dxa"/>
          </w:tcPr>
          <w:p w14:paraId="4EDC114D" w14:textId="77777777" w:rsidR="00EC1330" w:rsidRPr="00387F15" w:rsidRDefault="00000000" w:rsidP="00C17870">
            <w:pPr>
              <w:spacing w:line="360" w:lineRule="auto"/>
              <w:rPr>
                <w:rFonts w:cs="Arial"/>
                <w:sz w:val="24"/>
                <w:szCs w:val="24"/>
              </w:rPr>
            </w:pPr>
            <w:r w:rsidRPr="00387F15">
              <w:rPr>
                <w:rFonts w:cs="Arial"/>
                <w:sz w:val="24"/>
                <w:szCs w:val="24"/>
              </w:rPr>
              <w:t>Princípio da transparência e minimização</w:t>
            </w:r>
          </w:p>
        </w:tc>
      </w:tr>
      <w:tr w:rsidR="00EC1330" w:rsidRPr="00387F15" w14:paraId="7897B540" w14:textId="77777777">
        <w:tc>
          <w:tcPr>
            <w:tcW w:w="1728" w:type="dxa"/>
          </w:tcPr>
          <w:p w14:paraId="22FF3986" w14:textId="77777777" w:rsidR="00EC1330" w:rsidRPr="00387F15" w:rsidRDefault="00000000" w:rsidP="00C17870">
            <w:pPr>
              <w:spacing w:line="360" w:lineRule="auto"/>
              <w:rPr>
                <w:rFonts w:cs="Arial"/>
                <w:sz w:val="24"/>
                <w:szCs w:val="24"/>
              </w:rPr>
            </w:pPr>
            <w:r w:rsidRPr="00387F15">
              <w:rPr>
                <w:rFonts w:cs="Arial"/>
                <w:sz w:val="24"/>
                <w:szCs w:val="24"/>
              </w:rPr>
              <w:t>Ghosh et al.</w:t>
            </w:r>
          </w:p>
        </w:tc>
        <w:tc>
          <w:tcPr>
            <w:tcW w:w="1728" w:type="dxa"/>
          </w:tcPr>
          <w:p w14:paraId="344E84A6" w14:textId="77777777" w:rsidR="00EC1330" w:rsidRPr="00387F15" w:rsidRDefault="00000000" w:rsidP="00B30F81">
            <w:pPr>
              <w:spacing w:line="360" w:lineRule="auto"/>
              <w:rPr>
                <w:rFonts w:cs="Arial"/>
                <w:sz w:val="24"/>
                <w:szCs w:val="24"/>
              </w:rPr>
            </w:pPr>
            <w:r w:rsidRPr="00387F15">
              <w:rPr>
                <w:rFonts w:cs="Arial"/>
                <w:sz w:val="24"/>
                <w:szCs w:val="24"/>
              </w:rPr>
              <w:t>2021</w:t>
            </w:r>
          </w:p>
        </w:tc>
        <w:tc>
          <w:tcPr>
            <w:tcW w:w="1728" w:type="dxa"/>
          </w:tcPr>
          <w:p w14:paraId="4343AC45" w14:textId="77777777" w:rsidR="00EC1330" w:rsidRPr="00387F15" w:rsidRDefault="00000000" w:rsidP="00C17870">
            <w:pPr>
              <w:spacing w:line="360" w:lineRule="auto"/>
              <w:rPr>
                <w:rFonts w:cs="Arial"/>
                <w:sz w:val="24"/>
                <w:szCs w:val="24"/>
              </w:rPr>
            </w:pPr>
            <w:r w:rsidRPr="00387F15">
              <w:rPr>
                <w:rFonts w:cs="Arial"/>
                <w:sz w:val="24"/>
                <w:szCs w:val="24"/>
              </w:rPr>
              <w:t>Todos os tipos (ênfase em regulamentação)</w:t>
            </w:r>
          </w:p>
        </w:tc>
        <w:tc>
          <w:tcPr>
            <w:tcW w:w="1728" w:type="dxa"/>
          </w:tcPr>
          <w:p w14:paraId="1634B659" w14:textId="77777777" w:rsidR="00EC1330" w:rsidRPr="00387F15" w:rsidRDefault="00000000" w:rsidP="00C17870">
            <w:pPr>
              <w:spacing w:line="360" w:lineRule="auto"/>
              <w:rPr>
                <w:rFonts w:cs="Arial"/>
                <w:sz w:val="24"/>
                <w:szCs w:val="24"/>
              </w:rPr>
            </w:pPr>
            <w:r w:rsidRPr="00387F15">
              <w:rPr>
                <w:rFonts w:cs="Arial"/>
                <w:sz w:val="24"/>
                <w:szCs w:val="24"/>
              </w:rPr>
              <w:t>Responsabilidade legal insuficiente</w:t>
            </w:r>
          </w:p>
        </w:tc>
        <w:tc>
          <w:tcPr>
            <w:tcW w:w="1728" w:type="dxa"/>
          </w:tcPr>
          <w:p w14:paraId="7F4441A8" w14:textId="77777777" w:rsidR="00EC1330" w:rsidRPr="00387F15" w:rsidRDefault="00000000" w:rsidP="00C17870">
            <w:pPr>
              <w:spacing w:line="360" w:lineRule="auto"/>
              <w:rPr>
                <w:rFonts w:cs="Arial"/>
                <w:sz w:val="24"/>
                <w:szCs w:val="24"/>
              </w:rPr>
            </w:pPr>
            <w:r w:rsidRPr="00387F15">
              <w:rPr>
                <w:rFonts w:cs="Arial"/>
                <w:sz w:val="24"/>
                <w:szCs w:val="24"/>
              </w:rPr>
              <w:t>Impacto direto do GDPR; lacunas na aplicação global</w:t>
            </w:r>
          </w:p>
        </w:tc>
      </w:tr>
      <w:tr w:rsidR="00EC1330" w:rsidRPr="00387F15" w14:paraId="5BC3C755" w14:textId="77777777">
        <w:tc>
          <w:tcPr>
            <w:tcW w:w="1728" w:type="dxa"/>
          </w:tcPr>
          <w:p w14:paraId="6F1155C1" w14:textId="77777777" w:rsidR="00EC1330" w:rsidRPr="00387F15" w:rsidRDefault="00000000" w:rsidP="00C17870">
            <w:pPr>
              <w:spacing w:line="360" w:lineRule="auto"/>
              <w:rPr>
                <w:rFonts w:cs="Arial"/>
                <w:sz w:val="24"/>
                <w:szCs w:val="24"/>
              </w:rPr>
            </w:pPr>
            <w:r w:rsidRPr="00387F15">
              <w:rPr>
                <w:rFonts w:cs="Arial"/>
                <w:sz w:val="24"/>
                <w:szCs w:val="24"/>
              </w:rPr>
              <w:t>Dinev &amp; Hart</w:t>
            </w:r>
          </w:p>
        </w:tc>
        <w:tc>
          <w:tcPr>
            <w:tcW w:w="1728" w:type="dxa"/>
          </w:tcPr>
          <w:p w14:paraId="0713B08C" w14:textId="77777777" w:rsidR="00EC1330" w:rsidRPr="00387F15" w:rsidRDefault="00000000" w:rsidP="00B30F81">
            <w:pPr>
              <w:spacing w:line="360" w:lineRule="auto"/>
              <w:rPr>
                <w:rFonts w:cs="Arial"/>
                <w:sz w:val="24"/>
                <w:szCs w:val="24"/>
              </w:rPr>
            </w:pPr>
            <w:r w:rsidRPr="00387F15">
              <w:rPr>
                <w:rFonts w:cs="Arial"/>
                <w:sz w:val="24"/>
                <w:szCs w:val="24"/>
              </w:rPr>
              <w:t>2006</w:t>
            </w:r>
          </w:p>
        </w:tc>
        <w:tc>
          <w:tcPr>
            <w:tcW w:w="1728" w:type="dxa"/>
          </w:tcPr>
          <w:p w14:paraId="19689FD6" w14:textId="77777777" w:rsidR="00EC1330" w:rsidRPr="00387F15" w:rsidRDefault="00000000" w:rsidP="00C17870">
            <w:pPr>
              <w:spacing w:line="360" w:lineRule="auto"/>
              <w:rPr>
                <w:rFonts w:cs="Arial"/>
                <w:sz w:val="24"/>
                <w:szCs w:val="24"/>
              </w:rPr>
            </w:pPr>
            <w:r w:rsidRPr="00387F15">
              <w:rPr>
                <w:rFonts w:cs="Arial"/>
                <w:sz w:val="24"/>
                <w:szCs w:val="24"/>
              </w:rPr>
              <w:t>Informações pessoais (modelo privacy calculus)</w:t>
            </w:r>
          </w:p>
        </w:tc>
        <w:tc>
          <w:tcPr>
            <w:tcW w:w="1728" w:type="dxa"/>
          </w:tcPr>
          <w:p w14:paraId="5DC89853" w14:textId="77777777" w:rsidR="00EC1330" w:rsidRPr="00387F15" w:rsidRDefault="00000000" w:rsidP="00C17870">
            <w:pPr>
              <w:spacing w:line="360" w:lineRule="auto"/>
              <w:rPr>
                <w:rFonts w:cs="Arial"/>
                <w:sz w:val="24"/>
                <w:szCs w:val="24"/>
              </w:rPr>
            </w:pPr>
            <w:r w:rsidRPr="00387F15">
              <w:rPr>
                <w:rFonts w:cs="Arial"/>
                <w:sz w:val="24"/>
                <w:szCs w:val="24"/>
              </w:rPr>
              <w:t>Desconfiança e rejeição do usuário</w:t>
            </w:r>
          </w:p>
        </w:tc>
        <w:tc>
          <w:tcPr>
            <w:tcW w:w="1728" w:type="dxa"/>
          </w:tcPr>
          <w:p w14:paraId="7388A235" w14:textId="77777777" w:rsidR="00EC1330" w:rsidRPr="00387F15" w:rsidRDefault="00000000" w:rsidP="00C17870">
            <w:pPr>
              <w:spacing w:line="360" w:lineRule="auto"/>
              <w:rPr>
                <w:rFonts w:cs="Arial"/>
                <w:sz w:val="24"/>
                <w:szCs w:val="24"/>
              </w:rPr>
            </w:pPr>
            <w:r w:rsidRPr="00387F15">
              <w:rPr>
                <w:rFonts w:cs="Arial"/>
                <w:sz w:val="24"/>
                <w:szCs w:val="24"/>
              </w:rPr>
              <w:t>Alinhamento com princípios de finalidade e confiança</w:t>
            </w:r>
          </w:p>
        </w:tc>
      </w:tr>
    </w:tbl>
    <w:p w14:paraId="00C3004B" w14:textId="69833BE3" w:rsidR="00EC1330" w:rsidRPr="00B30F81" w:rsidRDefault="00000000" w:rsidP="00C17870">
      <w:pPr>
        <w:pStyle w:val="Legenda"/>
        <w:spacing w:line="360" w:lineRule="auto"/>
        <w:rPr>
          <w:rFonts w:cs="Arial"/>
          <w:b w:val="0"/>
          <w:bCs w:val="0"/>
          <w:color w:val="auto"/>
          <w:sz w:val="20"/>
          <w:szCs w:val="20"/>
        </w:rPr>
      </w:pPr>
      <w:r w:rsidRPr="00B30F81">
        <w:rPr>
          <w:rFonts w:cs="Arial"/>
          <w:b w:val="0"/>
          <w:bCs w:val="0"/>
          <w:color w:val="auto"/>
          <w:sz w:val="20"/>
          <w:szCs w:val="20"/>
        </w:rPr>
        <w:t>Fonte:</w:t>
      </w:r>
      <w:r w:rsidR="00C17870" w:rsidRPr="00B30F81">
        <w:rPr>
          <w:rFonts w:cs="Arial"/>
          <w:b w:val="0"/>
          <w:bCs w:val="0"/>
          <w:color w:val="auto"/>
          <w:sz w:val="20"/>
          <w:szCs w:val="20"/>
        </w:rPr>
        <w:t xml:space="preserve"> </w:t>
      </w:r>
      <w:r w:rsidR="00B30F81" w:rsidRPr="00B30F81">
        <w:rPr>
          <w:rFonts w:cs="Arial"/>
          <w:b w:val="0"/>
          <w:bCs w:val="0"/>
          <w:color w:val="auto"/>
          <w:sz w:val="20"/>
          <w:szCs w:val="20"/>
        </w:rPr>
        <w:t>Information Systems Research, Journal of Business Ethics, International Journal of Information Management, Games and Culture.</w:t>
      </w:r>
    </w:p>
    <w:p w14:paraId="6C1916D0" w14:textId="198D0AE6" w:rsidR="00B30F81" w:rsidRDefault="00B30F81" w:rsidP="00B30F81">
      <w:pPr>
        <w:spacing w:line="360" w:lineRule="auto"/>
        <w:rPr>
          <w:rFonts w:cs="Arial"/>
          <w:b/>
          <w:bCs/>
          <w:sz w:val="24"/>
          <w:szCs w:val="24"/>
        </w:rPr>
      </w:pPr>
      <w:r>
        <w:rPr>
          <w:rFonts w:cs="Arial"/>
          <w:b/>
          <w:bCs/>
          <w:sz w:val="24"/>
          <w:szCs w:val="24"/>
        </w:rPr>
        <w:t xml:space="preserve">4 </w:t>
      </w:r>
      <w:r w:rsidR="00BF5132" w:rsidRPr="00BF5132">
        <w:rPr>
          <w:rFonts w:cs="Arial"/>
          <w:b/>
          <w:bCs/>
          <w:sz w:val="24"/>
          <w:szCs w:val="24"/>
        </w:rPr>
        <w:t>DISCUSSÃO DOS RESULTADOS</w:t>
      </w:r>
    </w:p>
    <w:p w14:paraId="216C80AF" w14:textId="77777777" w:rsidR="00B30F81" w:rsidRPr="00BF5132" w:rsidRDefault="00B30F81" w:rsidP="00B30F81">
      <w:pPr>
        <w:spacing w:line="360" w:lineRule="auto"/>
        <w:rPr>
          <w:rFonts w:cs="Arial"/>
          <w:b/>
          <w:bCs/>
          <w:sz w:val="24"/>
          <w:szCs w:val="24"/>
        </w:rPr>
      </w:pPr>
    </w:p>
    <w:p w14:paraId="5977B72E" w14:textId="77777777" w:rsidR="00EC1330" w:rsidRPr="00387F15" w:rsidRDefault="00000000" w:rsidP="00387F15">
      <w:pPr>
        <w:spacing w:line="360" w:lineRule="auto"/>
        <w:ind w:firstLine="709"/>
        <w:rPr>
          <w:rFonts w:cs="Arial"/>
          <w:sz w:val="24"/>
          <w:szCs w:val="24"/>
        </w:rPr>
      </w:pPr>
      <w:r w:rsidRPr="00387F15">
        <w:rPr>
          <w:rFonts w:cs="Arial"/>
          <w:sz w:val="24"/>
          <w:szCs w:val="24"/>
        </w:rPr>
        <w:t xml:space="preserve">Os resultados mostram que a coleta de dados é uma ferramenta poderosa para engajamento e monetização, mas traz riscos éticos graves quando realizada sem transparência e consentimento real. A personalização e a publicidade comportamental geram desequilíbrio de poder entre desenvolvedora e jogador. No Brasil, a LGPD reforça a proteção como direito de personalidade (Doneda, apud Referencial Teórico), </w:t>
      </w:r>
      <w:r w:rsidRPr="00387F15">
        <w:rPr>
          <w:rFonts w:cs="Arial"/>
          <w:sz w:val="24"/>
          <w:szCs w:val="24"/>
        </w:rPr>
        <w:lastRenderedPageBreak/>
        <w:t>porém a literatura indica que muitos jogos ainda não cumprem plenamente os princípios de finalidade, minimização e transparência.</w:t>
      </w:r>
    </w:p>
    <w:p w14:paraId="60BB5040" w14:textId="77777777" w:rsidR="00EC1330" w:rsidRDefault="00000000" w:rsidP="00387F15">
      <w:pPr>
        <w:spacing w:line="360" w:lineRule="auto"/>
        <w:ind w:firstLine="709"/>
        <w:rPr>
          <w:rFonts w:cs="Arial"/>
          <w:sz w:val="24"/>
          <w:szCs w:val="24"/>
        </w:rPr>
      </w:pPr>
      <w:r w:rsidRPr="00387F15">
        <w:rPr>
          <w:rFonts w:cs="Arial"/>
          <w:sz w:val="24"/>
          <w:szCs w:val="24"/>
        </w:rPr>
        <w:t xml:space="preserve">Comparativamente, o modelo de Dinev e Hart (2006) explica por que a percepção de risco influencia a decisão de continuar jogando. Quando o jogador sente que seus dados são tratados de forma ética, o “cálculo de privacidade” torna-se positivo; caso contrário, surge desconfiança e redução do engajamento. A convergência dos estudos confirma que a falta de envolvimento ativo dos usuários nas decisões sobre seus dados </w:t>
      </w:r>
      <w:proofErr w:type="spellStart"/>
      <w:r w:rsidRPr="00387F15">
        <w:rPr>
          <w:rFonts w:cs="Arial"/>
          <w:sz w:val="24"/>
          <w:szCs w:val="24"/>
        </w:rPr>
        <w:t>configura</w:t>
      </w:r>
      <w:proofErr w:type="spellEnd"/>
      <w:r w:rsidRPr="00387F15">
        <w:rPr>
          <w:rFonts w:cs="Arial"/>
          <w:sz w:val="24"/>
          <w:szCs w:val="24"/>
        </w:rPr>
        <w:t xml:space="preserve"> a principal </w:t>
      </w:r>
      <w:proofErr w:type="spellStart"/>
      <w:r w:rsidRPr="00387F15">
        <w:rPr>
          <w:rFonts w:cs="Arial"/>
          <w:sz w:val="24"/>
          <w:szCs w:val="24"/>
        </w:rPr>
        <w:t>violação</w:t>
      </w:r>
      <w:proofErr w:type="spellEnd"/>
      <w:r w:rsidRPr="00387F15">
        <w:rPr>
          <w:rFonts w:cs="Arial"/>
          <w:sz w:val="24"/>
          <w:szCs w:val="24"/>
        </w:rPr>
        <w:t xml:space="preserve"> </w:t>
      </w:r>
      <w:proofErr w:type="spellStart"/>
      <w:r w:rsidRPr="00387F15">
        <w:rPr>
          <w:rFonts w:cs="Arial"/>
          <w:sz w:val="24"/>
          <w:szCs w:val="24"/>
        </w:rPr>
        <w:t>ética</w:t>
      </w:r>
      <w:proofErr w:type="spellEnd"/>
      <w:r w:rsidRPr="00387F15">
        <w:rPr>
          <w:rFonts w:cs="Arial"/>
          <w:sz w:val="24"/>
          <w:szCs w:val="24"/>
        </w:rPr>
        <w:t xml:space="preserve"> </w:t>
      </w:r>
      <w:proofErr w:type="spellStart"/>
      <w:r w:rsidRPr="00387F15">
        <w:rPr>
          <w:rFonts w:cs="Arial"/>
          <w:sz w:val="24"/>
          <w:szCs w:val="24"/>
        </w:rPr>
        <w:t>identificada</w:t>
      </w:r>
      <w:proofErr w:type="spellEnd"/>
      <w:r w:rsidRPr="00387F15">
        <w:rPr>
          <w:rFonts w:cs="Arial"/>
          <w:sz w:val="24"/>
          <w:szCs w:val="24"/>
        </w:rPr>
        <w:t>.</w:t>
      </w:r>
    </w:p>
    <w:p w14:paraId="2036B2AC" w14:textId="77777777" w:rsidR="00B30F81" w:rsidRPr="00B30F81" w:rsidRDefault="00B30F81" w:rsidP="00B30F81">
      <w:pPr>
        <w:pStyle w:val="Ttulo1"/>
        <w:spacing w:line="360" w:lineRule="auto"/>
        <w:rPr>
          <w:rFonts w:ascii="Arial" w:hAnsi="Arial" w:cs="Arial"/>
          <w:color w:val="auto"/>
          <w:sz w:val="24"/>
          <w:szCs w:val="24"/>
        </w:rPr>
      </w:pPr>
      <w:proofErr w:type="spellStart"/>
      <w:r w:rsidRPr="00B30F81">
        <w:rPr>
          <w:rFonts w:ascii="Arial" w:hAnsi="Arial" w:cs="Arial"/>
          <w:color w:val="auto"/>
          <w:sz w:val="24"/>
          <w:szCs w:val="24"/>
        </w:rPr>
        <w:t>Tabela</w:t>
      </w:r>
      <w:proofErr w:type="spellEnd"/>
      <w:r w:rsidRPr="00B30F81">
        <w:rPr>
          <w:rFonts w:ascii="Arial" w:hAnsi="Arial" w:cs="Arial"/>
          <w:color w:val="auto"/>
          <w:sz w:val="24"/>
          <w:szCs w:val="24"/>
        </w:rPr>
        <w:t xml:space="preserve"> 2 – </w:t>
      </w:r>
      <w:proofErr w:type="spellStart"/>
      <w:r w:rsidRPr="00B30F81">
        <w:rPr>
          <w:rFonts w:ascii="Arial" w:hAnsi="Arial" w:cs="Arial"/>
          <w:color w:val="auto"/>
          <w:sz w:val="24"/>
          <w:szCs w:val="24"/>
        </w:rPr>
        <w:t>Comparativo</w:t>
      </w:r>
      <w:proofErr w:type="spellEnd"/>
      <w:r w:rsidRPr="00B30F81">
        <w:rPr>
          <w:rFonts w:ascii="Arial" w:hAnsi="Arial" w:cs="Arial"/>
          <w:color w:val="auto"/>
          <w:sz w:val="24"/>
          <w:szCs w:val="24"/>
        </w:rPr>
        <w:t xml:space="preserve"> de </w:t>
      </w:r>
      <w:proofErr w:type="spellStart"/>
      <w:r w:rsidRPr="00B30F81">
        <w:rPr>
          <w:rFonts w:ascii="Arial" w:hAnsi="Arial" w:cs="Arial"/>
          <w:color w:val="auto"/>
          <w:sz w:val="24"/>
          <w:szCs w:val="24"/>
        </w:rPr>
        <w:t>Regulamentações</w:t>
      </w:r>
      <w:proofErr w:type="spellEnd"/>
      <w:r w:rsidRPr="00B30F81">
        <w:rPr>
          <w:rFonts w:ascii="Arial" w:hAnsi="Arial" w:cs="Arial"/>
          <w:color w:val="auto"/>
          <w:sz w:val="24"/>
          <w:szCs w:val="24"/>
        </w:rPr>
        <w:t xml:space="preserve"> de </w:t>
      </w:r>
      <w:proofErr w:type="spellStart"/>
      <w:r w:rsidRPr="00B30F81">
        <w:rPr>
          <w:rFonts w:ascii="Arial" w:hAnsi="Arial" w:cs="Arial"/>
          <w:color w:val="auto"/>
          <w:sz w:val="24"/>
          <w:szCs w:val="24"/>
        </w:rPr>
        <w:t>Privacidade</w:t>
      </w:r>
      <w:proofErr w:type="spellEnd"/>
    </w:p>
    <w:tbl>
      <w:tblPr>
        <w:tblStyle w:val="Tabelacomgrade"/>
        <w:tblW w:w="0" w:type="auto"/>
        <w:tblLook w:val="04A0" w:firstRow="1" w:lastRow="0" w:firstColumn="1" w:lastColumn="0" w:noHBand="0" w:noVBand="1"/>
      </w:tblPr>
      <w:tblGrid>
        <w:gridCol w:w="2160"/>
        <w:gridCol w:w="2160"/>
        <w:gridCol w:w="2231"/>
        <w:gridCol w:w="2160"/>
      </w:tblGrid>
      <w:tr w:rsidR="00B30F81" w:rsidRPr="00387F15" w14:paraId="2D3D555A" w14:textId="77777777" w:rsidTr="00F54F96">
        <w:tc>
          <w:tcPr>
            <w:tcW w:w="2160" w:type="dxa"/>
          </w:tcPr>
          <w:p w14:paraId="6D714467"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Regulamentação</w:t>
            </w:r>
            <w:proofErr w:type="spellEnd"/>
          </w:p>
        </w:tc>
        <w:tc>
          <w:tcPr>
            <w:tcW w:w="2160" w:type="dxa"/>
          </w:tcPr>
          <w:p w14:paraId="2D5A0E0B"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Abrangência</w:t>
            </w:r>
            <w:proofErr w:type="spellEnd"/>
          </w:p>
        </w:tc>
        <w:tc>
          <w:tcPr>
            <w:tcW w:w="2160" w:type="dxa"/>
          </w:tcPr>
          <w:p w14:paraId="72D981C0"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Principais</w:t>
            </w:r>
            <w:proofErr w:type="spellEnd"/>
            <w:r w:rsidRPr="00387F15">
              <w:rPr>
                <w:rFonts w:cs="Arial"/>
                <w:sz w:val="24"/>
                <w:szCs w:val="24"/>
              </w:rPr>
              <w:t xml:space="preserve"> Pilares</w:t>
            </w:r>
          </w:p>
        </w:tc>
        <w:tc>
          <w:tcPr>
            <w:tcW w:w="2160" w:type="dxa"/>
          </w:tcPr>
          <w:p w14:paraId="1D53A713" w14:textId="77777777" w:rsidR="00B30F81" w:rsidRPr="00387F15" w:rsidRDefault="00B30F81" w:rsidP="00B30F81">
            <w:pPr>
              <w:spacing w:line="360" w:lineRule="auto"/>
              <w:rPr>
                <w:rFonts w:cs="Arial"/>
                <w:sz w:val="24"/>
                <w:szCs w:val="24"/>
              </w:rPr>
            </w:pPr>
            <w:r w:rsidRPr="00387F15">
              <w:rPr>
                <w:rFonts w:cs="Arial"/>
                <w:sz w:val="24"/>
                <w:szCs w:val="24"/>
              </w:rPr>
              <w:t xml:space="preserve">Impacto </w:t>
            </w:r>
            <w:proofErr w:type="spellStart"/>
            <w:r w:rsidRPr="00387F15">
              <w:rPr>
                <w:rFonts w:cs="Arial"/>
                <w:sz w:val="24"/>
                <w:szCs w:val="24"/>
              </w:rPr>
              <w:t>na</w:t>
            </w:r>
            <w:proofErr w:type="spellEnd"/>
            <w:r w:rsidRPr="00387F15">
              <w:rPr>
                <w:rFonts w:cs="Arial"/>
                <w:sz w:val="24"/>
                <w:szCs w:val="24"/>
              </w:rPr>
              <w:t xml:space="preserve"> Indústria de </w:t>
            </w:r>
            <w:proofErr w:type="spellStart"/>
            <w:r w:rsidRPr="00387F15">
              <w:rPr>
                <w:rFonts w:cs="Arial"/>
                <w:sz w:val="24"/>
                <w:szCs w:val="24"/>
              </w:rPr>
              <w:t>Jogos</w:t>
            </w:r>
            <w:proofErr w:type="spellEnd"/>
          </w:p>
        </w:tc>
      </w:tr>
      <w:tr w:rsidR="00B30F81" w:rsidRPr="00387F15" w14:paraId="186A0062" w14:textId="77777777" w:rsidTr="00F54F96">
        <w:tc>
          <w:tcPr>
            <w:tcW w:w="2160" w:type="dxa"/>
          </w:tcPr>
          <w:p w14:paraId="2500222F" w14:textId="77777777" w:rsidR="00B30F81" w:rsidRPr="00387F15" w:rsidRDefault="00B30F81" w:rsidP="00B30F81">
            <w:pPr>
              <w:spacing w:line="360" w:lineRule="auto"/>
              <w:rPr>
                <w:rFonts w:cs="Arial"/>
                <w:sz w:val="24"/>
                <w:szCs w:val="24"/>
              </w:rPr>
            </w:pPr>
            <w:r w:rsidRPr="00387F15">
              <w:rPr>
                <w:rFonts w:cs="Arial"/>
                <w:sz w:val="24"/>
                <w:szCs w:val="24"/>
              </w:rPr>
              <w:t>GDPR (General Data Protection Regulation)</w:t>
            </w:r>
          </w:p>
        </w:tc>
        <w:tc>
          <w:tcPr>
            <w:tcW w:w="2160" w:type="dxa"/>
          </w:tcPr>
          <w:p w14:paraId="112C194D"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União</w:t>
            </w:r>
            <w:proofErr w:type="spellEnd"/>
            <w:r w:rsidRPr="00387F15">
              <w:rPr>
                <w:rFonts w:cs="Arial"/>
                <w:sz w:val="24"/>
                <w:szCs w:val="24"/>
              </w:rPr>
              <w:t xml:space="preserve"> </w:t>
            </w:r>
            <w:proofErr w:type="spellStart"/>
            <w:r w:rsidRPr="00387F15">
              <w:rPr>
                <w:rFonts w:cs="Arial"/>
                <w:sz w:val="24"/>
                <w:szCs w:val="24"/>
              </w:rPr>
              <w:t>Europeia</w:t>
            </w:r>
            <w:proofErr w:type="spellEnd"/>
          </w:p>
        </w:tc>
        <w:tc>
          <w:tcPr>
            <w:tcW w:w="2160" w:type="dxa"/>
          </w:tcPr>
          <w:p w14:paraId="63D36999"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Consentimento</w:t>
            </w:r>
            <w:proofErr w:type="spellEnd"/>
            <w:r w:rsidRPr="00387F15">
              <w:rPr>
                <w:rFonts w:cs="Arial"/>
                <w:sz w:val="24"/>
                <w:szCs w:val="24"/>
              </w:rPr>
              <w:t xml:space="preserve">, </w:t>
            </w:r>
            <w:proofErr w:type="spellStart"/>
            <w:r w:rsidRPr="00387F15">
              <w:rPr>
                <w:rFonts w:cs="Arial"/>
                <w:sz w:val="24"/>
                <w:szCs w:val="24"/>
              </w:rPr>
              <w:t>Direitos</w:t>
            </w:r>
            <w:proofErr w:type="spellEnd"/>
            <w:r w:rsidRPr="00387F15">
              <w:rPr>
                <w:rFonts w:cs="Arial"/>
                <w:sz w:val="24"/>
                <w:szCs w:val="24"/>
              </w:rPr>
              <w:t xml:space="preserve"> do Titular, </w:t>
            </w:r>
            <w:proofErr w:type="spellStart"/>
            <w:r w:rsidRPr="00387F15">
              <w:rPr>
                <w:rFonts w:cs="Arial"/>
                <w:sz w:val="24"/>
                <w:szCs w:val="24"/>
              </w:rPr>
              <w:t>Responsabilização</w:t>
            </w:r>
            <w:proofErr w:type="spellEnd"/>
          </w:p>
        </w:tc>
        <w:tc>
          <w:tcPr>
            <w:tcW w:w="2160" w:type="dxa"/>
          </w:tcPr>
          <w:p w14:paraId="40870F7D"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Aumento</w:t>
            </w:r>
            <w:proofErr w:type="spellEnd"/>
            <w:r w:rsidRPr="00387F15">
              <w:rPr>
                <w:rFonts w:cs="Arial"/>
                <w:sz w:val="24"/>
                <w:szCs w:val="24"/>
              </w:rPr>
              <w:t xml:space="preserve"> da </w:t>
            </w:r>
            <w:proofErr w:type="spellStart"/>
            <w:r w:rsidRPr="00387F15">
              <w:rPr>
                <w:rFonts w:cs="Arial"/>
                <w:sz w:val="24"/>
                <w:szCs w:val="24"/>
              </w:rPr>
              <w:t>conformidade</w:t>
            </w:r>
            <w:proofErr w:type="spellEnd"/>
            <w:r w:rsidRPr="00387F15">
              <w:rPr>
                <w:rFonts w:cs="Arial"/>
                <w:sz w:val="24"/>
                <w:szCs w:val="24"/>
              </w:rPr>
              <w:t xml:space="preserve">, </w:t>
            </w:r>
            <w:proofErr w:type="spellStart"/>
            <w:r w:rsidRPr="00387F15">
              <w:rPr>
                <w:rFonts w:cs="Arial"/>
                <w:sz w:val="24"/>
                <w:szCs w:val="24"/>
              </w:rPr>
              <w:t>necessidade</w:t>
            </w:r>
            <w:proofErr w:type="spellEnd"/>
            <w:r w:rsidRPr="00387F15">
              <w:rPr>
                <w:rFonts w:cs="Arial"/>
                <w:sz w:val="24"/>
                <w:szCs w:val="24"/>
              </w:rPr>
              <w:t xml:space="preserve"> de Privacy by Design</w:t>
            </w:r>
          </w:p>
        </w:tc>
      </w:tr>
      <w:tr w:rsidR="00B30F81" w:rsidRPr="00387F15" w14:paraId="7F2606F2" w14:textId="77777777" w:rsidTr="00F54F96">
        <w:tc>
          <w:tcPr>
            <w:tcW w:w="2160" w:type="dxa"/>
          </w:tcPr>
          <w:p w14:paraId="359D7E81" w14:textId="77777777" w:rsidR="00B30F81" w:rsidRPr="00387F15" w:rsidRDefault="00B30F81" w:rsidP="00B30F81">
            <w:pPr>
              <w:spacing w:line="360" w:lineRule="auto"/>
              <w:rPr>
                <w:rFonts w:cs="Arial"/>
                <w:sz w:val="24"/>
                <w:szCs w:val="24"/>
              </w:rPr>
            </w:pPr>
            <w:r w:rsidRPr="00387F15">
              <w:rPr>
                <w:rFonts w:cs="Arial"/>
                <w:sz w:val="24"/>
                <w:szCs w:val="24"/>
              </w:rPr>
              <w:t xml:space="preserve">LGPD (Lei Geral de </w:t>
            </w:r>
            <w:proofErr w:type="spellStart"/>
            <w:r w:rsidRPr="00387F15">
              <w:rPr>
                <w:rFonts w:cs="Arial"/>
                <w:sz w:val="24"/>
                <w:szCs w:val="24"/>
              </w:rPr>
              <w:t>Proteção</w:t>
            </w:r>
            <w:proofErr w:type="spellEnd"/>
            <w:r w:rsidRPr="00387F15">
              <w:rPr>
                <w:rFonts w:cs="Arial"/>
                <w:sz w:val="24"/>
                <w:szCs w:val="24"/>
              </w:rPr>
              <w:t xml:space="preserve"> de Dados)</w:t>
            </w:r>
          </w:p>
        </w:tc>
        <w:tc>
          <w:tcPr>
            <w:tcW w:w="2160" w:type="dxa"/>
          </w:tcPr>
          <w:p w14:paraId="760AD89A"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Brasil</w:t>
            </w:r>
            <w:proofErr w:type="spellEnd"/>
          </w:p>
        </w:tc>
        <w:tc>
          <w:tcPr>
            <w:tcW w:w="2160" w:type="dxa"/>
          </w:tcPr>
          <w:p w14:paraId="19247F90"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Finalidade</w:t>
            </w:r>
            <w:proofErr w:type="spellEnd"/>
            <w:r w:rsidRPr="00387F15">
              <w:rPr>
                <w:rFonts w:cs="Arial"/>
                <w:sz w:val="24"/>
                <w:szCs w:val="24"/>
              </w:rPr>
              <w:t xml:space="preserve">, </w:t>
            </w:r>
            <w:proofErr w:type="spellStart"/>
            <w:r w:rsidRPr="00387F15">
              <w:rPr>
                <w:rFonts w:cs="Arial"/>
                <w:sz w:val="24"/>
                <w:szCs w:val="24"/>
              </w:rPr>
              <w:t>Adequação</w:t>
            </w:r>
            <w:proofErr w:type="spellEnd"/>
            <w:r w:rsidRPr="00387F15">
              <w:rPr>
                <w:rFonts w:cs="Arial"/>
                <w:sz w:val="24"/>
                <w:szCs w:val="24"/>
              </w:rPr>
              <w:t xml:space="preserve">, </w:t>
            </w:r>
            <w:proofErr w:type="spellStart"/>
            <w:r w:rsidRPr="00387F15">
              <w:rPr>
                <w:rFonts w:cs="Arial"/>
                <w:sz w:val="24"/>
                <w:szCs w:val="24"/>
              </w:rPr>
              <w:t>Necessidade</w:t>
            </w:r>
            <w:proofErr w:type="spellEnd"/>
            <w:r w:rsidRPr="00387F15">
              <w:rPr>
                <w:rFonts w:cs="Arial"/>
                <w:sz w:val="24"/>
                <w:szCs w:val="24"/>
              </w:rPr>
              <w:t xml:space="preserve">, </w:t>
            </w:r>
            <w:proofErr w:type="spellStart"/>
            <w:r w:rsidRPr="00387F15">
              <w:rPr>
                <w:rFonts w:cs="Arial"/>
                <w:sz w:val="24"/>
                <w:szCs w:val="24"/>
              </w:rPr>
              <w:t>Transparência</w:t>
            </w:r>
            <w:proofErr w:type="spellEnd"/>
          </w:p>
        </w:tc>
        <w:tc>
          <w:tcPr>
            <w:tcW w:w="2160" w:type="dxa"/>
          </w:tcPr>
          <w:p w14:paraId="283E7548" w14:textId="77777777" w:rsidR="00B30F81" w:rsidRPr="00387F15" w:rsidRDefault="00B30F81" w:rsidP="00B30F81">
            <w:pPr>
              <w:spacing w:line="360" w:lineRule="auto"/>
              <w:rPr>
                <w:rFonts w:cs="Arial"/>
                <w:sz w:val="24"/>
                <w:szCs w:val="24"/>
              </w:rPr>
            </w:pPr>
            <w:proofErr w:type="spellStart"/>
            <w:r w:rsidRPr="00387F15">
              <w:rPr>
                <w:rFonts w:cs="Arial"/>
                <w:sz w:val="24"/>
                <w:szCs w:val="24"/>
              </w:rPr>
              <w:t>Adaptação</w:t>
            </w:r>
            <w:proofErr w:type="spellEnd"/>
            <w:r w:rsidRPr="00387F15">
              <w:rPr>
                <w:rFonts w:cs="Arial"/>
                <w:sz w:val="24"/>
                <w:szCs w:val="24"/>
              </w:rPr>
              <w:t xml:space="preserve"> de </w:t>
            </w:r>
            <w:proofErr w:type="spellStart"/>
            <w:r w:rsidRPr="00387F15">
              <w:rPr>
                <w:rFonts w:cs="Arial"/>
                <w:sz w:val="24"/>
                <w:szCs w:val="24"/>
              </w:rPr>
              <w:t>políticas</w:t>
            </w:r>
            <w:proofErr w:type="spellEnd"/>
            <w:r w:rsidRPr="00387F15">
              <w:rPr>
                <w:rFonts w:cs="Arial"/>
                <w:sz w:val="24"/>
                <w:szCs w:val="24"/>
              </w:rPr>
              <w:t xml:space="preserve">, </w:t>
            </w:r>
            <w:proofErr w:type="spellStart"/>
            <w:r w:rsidRPr="00387F15">
              <w:rPr>
                <w:rFonts w:cs="Arial"/>
                <w:sz w:val="24"/>
                <w:szCs w:val="24"/>
              </w:rPr>
              <w:t>maior</w:t>
            </w:r>
            <w:proofErr w:type="spellEnd"/>
            <w:r w:rsidRPr="00387F15">
              <w:rPr>
                <w:rFonts w:cs="Arial"/>
                <w:sz w:val="24"/>
                <w:szCs w:val="24"/>
              </w:rPr>
              <w:t xml:space="preserve"> </w:t>
            </w:r>
            <w:proofErr w:type="spellStart"/>
            <w:r w:rsidRPr="00387F15">
              <w:rPr>
                <w:rFonts w:cs="Arial"/>
                <w:sz w:val="24"/>
                <w:szCs w:val="24"/>
              </w:rPr>
              <w:t>proteção</w:t>
            </w:r>
            <w:proofErr w:type="spellEnd"/>
            <w:r w:rsidRPr="00387F15">
              <w:rPr>
                <w:rFonts w:cs="Arial"/>
                <w:sz w:val="24"/>
                <w:szCs w:val="24"/>
              </w:rPr>
              <w:t xml:space="preserve"> </w:t>
            </w:r>
            <w:proofErr w:type="spellStart"/>
            <w:r w:rsidRPr="00387F15">
              <w:rPr>
                <w:rFonts w:cs="Arial"/>
                <w:sz w:val="24"/>
                <w:szCs w:val="24"/>
              </w:rPr>
              <w:t>ao</w:t>
            </w:r>
            <w:proofErr w:type="spellEnd"/>
            <w:r w:rsidRPr="00387F15">
              <w:rPr>
                <w:rFonts w:cs="Arial"/>
                <w:sz w:val="24"/>
                <w:szCs w:val="24"/>
              </w:rPr>
              <w:t xml:space="preserve"> </w:t>
            </w:r>
            <w:proofErr w:type="spellStart"/>
            <w:r w:rsidRPr="00387F15">
              <w:rPr>
                <w:rFonts w:cs="Arial"/>
                <w:sz w:val="24"/>
                <w:szCs w:val="24"/>
              </w:rPr>
              <w:t>consumidor</w:t>
            </w:r>
            <w:proofErr w:type="spellEnd"/>
            <w:r w:rsidRPr="00387F15">
              <w:rPr>
                <w:rFonts w:cs="Arial"/>
                <w:sz w:val="24"/>
                <w:szCs w:val="24"/>
              </w:rPr>
              <w:t xml:space="preserve"> </w:t>
            </w:r>
            <w:proofErr w:type="spellStart"/>
            <w:r w:rsidRPr="00387F15">
              <w:rPr>
                <w:rFonts w:cs="Arial"/>
                <w:sz w:val="24"/>
                <w:szCs w:val="24"/>
              </w:rPr>
              <w:t>brasileiro</w:t>
            </w:r>
            <w:proofErr w:type="spellEnd"/>
          </w:p>
        </w:tc>
      </w:tr>
    </w:tbl>
    <w:p w14:paraId="72605FA7" w14:textId="51E9559F" w:rsidR="00B30F81" w:rsidRPr="00134021" w:rsidRDefault="00B30F81" w:rsidP="00134021">
      <w:pPr>
        <w:pStyle w:val="Legenda"/>
        <w:spacing w:line="360" w:lineRule="auto"/>
        <w:rPr>
          <w:rFonts w:cs="Arial"/>
          <w:b w:val="0"/>
          <w:bCs w:val="0"/>
          <w:color w:val="auto"/>
          <w:sz w:val="20"/>
          <w:szCs w:val="20"/>
        </w:rPr>
      </w:pPr>
      <w:r w:rsidRPr="00134021">
        <w:rPr>
          <w:rFonts w:cs="Arial"/>
          <w:b w:val="0"/>
          <w:bCs w:val="0"/>
          <w:color w:val="auto"/>
          <w:sz w:val="20"/>
          <w:szCs w:val="20"/>
        </w:rPr>
        <w:t xml:space="preserve">Fonte: </w:t>
      </w:r>
      <w:r w:rsidR="00134021" w:rsidRPr="00134021">
        <w:rPr>
          <w:rFonts w:cs="Arial"/>
          <w:b w:val="0"/>
          <w:bCs w:val="0"/>
          <w:color w:val="auto"/>
          <w:sz w:val="20"/>
          <w:szCs w:val="20"/>
        </w:rPr>
        <w:t>https://getprivacy.com.br/</w:t>
      </w:r>
      <w:r w:rsidR="00134021">
        <w:rPr>
          <w:rFonts w:cs="Arial"/>
          <w:b w:val="0"/>
          <w:bCs w:val="0"/>
          <w:color w:val="auto"/>
          <w:sz w:val="20"/>
          <w:szCs w:val="20"/>
        </w:rPr>
        <w:t>.</w:t>
      </w:r>
    </w:p>
    <w:p w14:paraId="0D02A0B6" w14:textId="5C7D5969" w:rsidR="00EC1330" w:rsidRDefault="00071E25" w:rsidP="00134021">
      <w:pPr>
        <w:pStyle w:val="Ttulo1"/>
        <w:spacing w:line="360" w:lineRule="auto"/>
        <w:rPr>
          <w:rFonts w:ascii="Arial" w:hAnsi="Arial" w:cs="Arial"/>
          <w:color w:val="auto"/>
          <w:sz w:val="24"/>
          <w:szCs w:val="24"/>
        </w:rPr>
      </w:pPr>
      <w:r>
        <w:rPr>
          <w:rFonts w:ascii="Arial" w:hAnsi="Arial" w:cs="Arial"/>
          <w:color w:val="auto"/>
          <w:sz w:val="24"/>
          <w:szCs w:val="24"/>
        </w:rPr>
        <w:t xml:space="preserve">5 </w:t>
      </w:r>
      <w:r w:rsidRPr="00134021">
        <w:rPr>
          <w:rFonts w:ascii="Arial" w:hAnsi="Arial" w:cs="Arial"/>
          <w:color w:val="auto"/>
          <w:sz w:val="24"/>
          <w:szCs w:val="24"/>
        </w:rPr>
        <w:t>CONCLUSÃO</w:t>
      </w:r>
    </w:p>
    <w:p w14:paraId="66B1B2C5" w14:textId="77777777" w:rsidR="00134021" w:rsidRPr="00134021" w:rsidRDefault="00134021" w:rsidP="00134021"/>
    <w:p w14:paraId="38DC2A74" w14:textId="77777777" w:rsidR="00EC1330" w:rsidRPr="00387F15" w:rsidRDefault="00000000" w:rsidP="00387F15">
      <w:pPr>
        <w:spacing w:line="360" w:lineRule="auto"/>
        <w:ind w:firstLine="709"/>
        <w:rPr>
          <w:rFonts w:cs="Arial"/>
          <w:sz w:val="24"/>
          <w:szCs w:val="24"/>
        </w:rPr>
      </w:pPr>
      <w:r w:rsidRPr="00387F15">
        <w:rPr>
          <w:rFonts w:cs="Arial"/>
          <w:sz w:val="24"/>
          <w:szCs w:val="24"/>
        </w:rPr>
        <w:t>Este estudo investigou as práticas de coleta, armazenamento e uso de dados pessoais em jogos digitais e suas implicações éticas, por meio de uma revisão sistemática da literatura. Os objetivos propostos foram plenamente atendidos: identificaram-se os tipos de dados coletados, os riscos associados à privacidade e o papel das regulamentações (GDPR e LGPD) no cenário atual.</w:t>
      </w:r>
    </w:p>
    <w:p w14:paraId="715570CA" w14:textId="77777777" w:rsidR="00EC1330" w:rsidRPr="00387F15" w:rsidRDefault="00000000" w:rsidP="00387F15">
      <w:pPr>
        <w:spacing w:line="360" w:lineRule="auto"/>
        <w:ind w:firstLine="709"/>
        <w:rPr>
          <w:rFonts w:cs="Arial"/>
          <w:sz w:val="24"/>
          <w:szCs w:val="24"/>
        </w:rPr>
      </w:pPr>
      <w:r w:rsidRPr="00387F15">
        <w:rPr>
          <w:rFonts w:cs="Arial"/>
          <w:sz w:val="24"/>
          <w:szCs w:val="24"/>
        </w:rPr>
        <w:t xml:space="preserve">A pergunta de pesquisa foi respondida de forma clara: embora a coleta de dados seja essencial para personalização e monetização, ela ocorre frequentemente </w:t>
      </w:r>
      <w:r w:rsidRPr="00387F15">
        <w:rPr>
          <w:rFonts w:cs="Arial"/>
          <w:sz w:val="24"/>
          <w:szCs w:val="24"/>
        </w:rPr>
        <w:lastRenderedPageBreak/>
        <w:t>com baixa transparência e consentimento insuficiente, gerando violações éticas e perda de confiança dos jogadores. A LGPD, ao tratar a proteção de dados como direito de personalidade, reforça a necessidade de os desenvolvedores adotarem uma abordagem ética e responsável.</w:t>
      </w:r>
    </w:p>
    <w:p w14:paraId="75D4EE9D" w14:textId="77777777" w:rsidR="00EC1330" w:rsidRPr="00387F15" w:rsidRDefault="00000000" w:rsidP="00387F15">
      <w:pPr>
        <w:spacing w:line="360" w:lineRule="auto"/>
        <w:ind w:firstLine="709"/>
        <w:rPr>
          <w:rFonts w:cs="Arial"/>
          <w:sz w:val="24"/>
          <w:szCs w:val="24"/>
        </w:rPr>
      </w:pPr>
      <w:r w:rsidRPr="00387F15">
        <w:rPr>
          <w:rFonts w:cs="Arial"/>
          <w:sz w:val="24"/>
          <w:szCs w:val="24"/>
        </w:rPr>
        <w:t>A ética na criação de jogos digitais não é apenas uma exigência legal, mas um imperativo para a sustentabilidade do setor. Jogos que respeitam a privacidade dos usuários tendem a gerar maior engajamento a longo prazo e fortalecem a imagem da marca. Como sugestões para trabalhos futuros, recomenda-se: (i) estudos empíricos com jogadores brasileiros sobre percepção de privacidade; (ii) análise comparativa entre jogos antes e após a aplicação da LGPD; e (iii) desenvolvimento de frameworks de “privacy-by-design” específicos para a indústria de games no Brasil.</w:t>
      </w:r>
    </w:p>
    <w:p w14:paraId="04D2F958" w14:textId="77777777" w:rsidR="00EC1330" w:rsidRPr="00387F15" w:rsidRDefault="00000000" w:rsidP="00387F15">
      <w:pPr>
        <w:spacing w:line="360" w:lineRule="auto"/>
        <w:ind w:firstLine="709"/>
        <w:rPr>
          <w:rFonts w:cs="Arial"/>
          <w:sz w:val="24"/>
          <w:szCs w:val="24"/>
        </w:rPr>
      </w:pPr>
      <w:r w:rsidRPr="00387F15">
        <w:rPr>
          <w:rFonts w:cs="Arial"/>
          <w:sz w:val="24"/>
          <w:szCs w:val="24"/>
        </w:rPr>
        <w:t>Em síntese, somente com transparência, consentimento real e envolvimento ativo dos usuários será possível conciliar inovação tecnológica com o respeito aos direitos fundamentais de privacidade.</w:t>
      </w:r>
    </w:p>
    <w:p w14:paraId="2CB465A2" w14:textId="77777777" w:rsidR="00EC1330" w:rsidRDefault="00000000" w:rsidP="00134021">
      <w:pPr>
        <w:pStyle w:val="Ttulo1"/>
        <w:spacing w:line="360" w:lineRule="auto"/>
        <w:rPr>
          <w:rFonts w:ascii="Arial" w:hAnsi="Arial" w:cs="Arial"/>
          <w:color w:val="auto"/>
          <w:sz w:val="24"/>
          <w:szCs w:val="24"/>
        </w:rPr>
      </w:pPr>
      <w:r w:rsidRPr="00134021">
        <w:rPr>
          <w:rFonts w:ascii="Arial" w:hAnsi="Arial" w:cs="Arial"/>
          <w:color w:val="auto"/>
          <w:sz w:val="24"/>
          <w:szCs w:val="24"/>
        </w:rPr>
        <w:t>REFERÊNCIAS</w:t>
      </w:r>
    </w:p>
    <w:p w14:paraId="25DD82EF" w14:textId="77777777" w:rsidR="00134021" w:rsidRPr="00134021" w:rsidRDefault="00134021" w:rsidP="00134021"/>
    <w:p w14:paraId="493EE1D0" w14:textId="0C69B61E" w:rsidR="001623CD" w:rsidRPr="00387F15" w:rsidRDefault="00000000" w:rsidP="001623CD">
      <w:pPr>
        <w:spacing w:line="360" w:lineRule="auto"/>
        <w:ind w:firstLine="709"/>
        <w:rPr>
          <w:rFonts w:cs="Arial"/>
          <w:sz w:val="24"/>
          <w:szCs w:val="24"/>
        </w:rPr>
      </w:pPr>
      <w:r w:rsidRPr="00387F15">
        <w:rPr>
          <w:rFonts w:cs="Arial"/>
          <w:sz w:val="24"/>
          <w:szCs w:val="24"/>
        </w:rPr>
        <w:t>Dinev, T., &amp; Hart, P. (2006). An extended privacy calculus model for e-commerce transactions. Information Systems Research, 17(1), 61-80.</w:t>
      </w:r>
    </w:p>
    <w:p w14:paraId="1C30F524" w14:textId="77777777" w:rsidR="00EC1330" w:rsidRPr="00387F15" w:rsidRDefault="00000000" w:rsidP="00387F15">
      <w:pPr>
        <w:spacing w:line="360" w:lineRule="auto"/>
        <w:ind w:firstLine="709"/>
        <w:rPr>
          <w:rFonts w:cs="Arial"/>
          <w:sz w:val="24"/>
          <w:szCs w:val="24"/>
        </w:rPr>
      </w:pPr>
      <w:r w:rsidRPr="00387F15">
        <w:rPr>
          <w:rFonts w:cs="Arial"/>
          <w:sz w:val="24"/>
          <w:szCs w:val="24"/>
        </w:rPr>
        <w:t>Ghosh, A., et al. (2021). Impact of GDPR on data practices in the gaming industry. Journal of Business Ethics, 168(4), 821-836.</w:t>
      </w:r>
    </w:p>
    <w:p w14:paraId="1D392984" w14:textId="77777777" w:rsidR="00EC1330" w:rsidRPr="00387F15" w:rsidRDefault="00000000" w:rsidP="00387F15">
      <w:pPr>
        <w:spacing w:line="360" w:lineRule="auto"/>
        <w:ind w:firstLine="709"/>
        <w:rPr>
          <w:rFonts w:cs="Arial"/>
          <w:sz w:val="24"/>
          <w:szCs w:val="24"/>
        </w:rPr>
      </w:pPr>
      <w:r w:rsidRPr="00387F15">
        <w:rPr>
          <w:rFonts w:cs="Arial"/>
          <w:sz w:val="24"/>
          <w:szCs w:val="24"/>
        </w:rPr>
        <w:t>Nardi, B. A., et al. (2018). The ethics of data collection in games: A call for transparency. Games and Culture, 13(5), 487-507.</w:t>
      </w:r>
    </w:p>
    <w:p w14:paraId="34FA72B6" w14:textId="77777777" w:rsidR="00EC1330" w:rsidRPr="00387F15" w:rsidRDefault="00000000" w:rsidP="00387F15">
      <w:pPr>
        <w:spacing w:line="360" w:lineRule="auto"/>
        <w:ind w:firstLine="709"/>
        <w:rPr>
          <w:rFonts w:cs="Arial"/>
          <w:sz w:val="24"/>
          <w:szCs w:val="24"/>
        </w:rPr>
      </w:pPr>
      <w:r w:rsidRPr="00387F15">
        <w:rPr>
          <w:rFonts w:cs="Arial"/>
          <w:sz w:val="24"/>
          <w:szCs w:val="24"/>
        </w:rPr>
        <w:t>Taneja, H., et al. (2020). Data privacy in the gaming industry: Impacts and implications. International Journal of Information Management, 52, 102-114.</w:t>
      </w:r>
    </w:p>
    <w:p w14:paraId="070F8E15" w14:textId="77777777" w:rsidR="00EC1330" w:rsidRPr="00387F15" w:rsidRDefault="00000000" w:rsidP="00387F15">
      <w:pPr>
        <w:spacing w:line="360" w:lineRule="auto"/>
        <w:ind w:firstLine="709"/>
        <w:rPr>
          <w:rFonts w:cs="Arial"/>
          <w:sz w:val="24"/>
          <w:szCs w:val="24"/>
        </w:rPr>
      </w:pPr>
      <w:r w:rsidRPr="00387F15">
        <w:rPr>
          <w:rFonts w:cs="Arial"/>
          <w:sz w:val="24"/>
          <w:szCs w:val="24"/>
        </w:rPr>
        <w:t>Kröger, J. L. (2023). Surveilling the gamers: Privacy impacts of the video game industry. ScienceDirect.</w:t>
      </w:r>
    </w:p>
    <w:p w14:paraId="7ACA668F" w14:textId="77777777" w:rsidR="00EC1330" w:rsidRPr="00387F15" w:rsidRDefault="00000000" w:rsidP="00387F15">
      <w:pPr>
        <w:spacing w:line="360" w:lineRule="auto"/>
        <w:ind w:firstLine="709"/>
        <w:rPr>
          <w:rFonts w:cs="Arial"/>
          <w:sz w:val="24"/>
          <w:szCs w:val="24"/>
        </w:rPr>
      </w:pPr>
      <w:r w:rsidRPr="00387F15">
        <w:rPr>
          <w:rFonts w:cs="Arial"/>
          <w:sz w:val="24"/>
          <w:szCs w:val="24"/>
        </w:rPr>
        <w:t>Russell, N. C., et al. (2019). Privacy in Gaming. Fordham Intellectual Property, Media &amp; Entertainment Law Journal.</w:t>
      </w:r>
    </w:p>
    <w:p w14:paraId="41CD7F39" w14:textId="77777777" w:rsidR="00EC1330" w:rsidRPr="00387F15" w:rsidRDefault="00000000" w:rsidP="00387F15">
      <w:pPr>
        <w:spacing w:line="360" w:lineRule="auto"/>
        <w:ind w:firstLine="709"/>
        <w:rPr>
          <w:rFonts w:cs="Arial"/>
          <w:sz w:val="24"/>
          <w:szCs w:val="24"/>
        </w:rPr>
      </w:pPr>
      <w:r w:rsidRPr="00387F15">
        <w:rPr>
          <w:rFonts w:cs="Arial"/>
          <w:sz w:val="24"/>
          <w:szCs w:val="24"/>
        </w:rPr>
        <w:lastRenderedPageBreak/>
        <w:t>Su, C., et al. (2025). Data practices and privacy in gaming: a consolidated cross-platform study. Goldsmiths, University of London.</w:t>
      </w:r>
    </w:p>
    <w:p w14:paraId="0396908B" w14:textId="77777777" w:rsidR="00EC1330" w:rsidRPr="00387F15" w:rsidRDefault="00000000" w:rsidP="00387F15">
      <w:pPr>
        <w:spacing w:line="360" w:lineRule="auto"/>
        <w:ind w:firstLine="709"/>
        <w:rPr>
          <w:rFonts w:cs="Arial"/>
          <w:sz w:val="24"/>
          <w:szCs w:val="24"/>
        </w:rPr>
      </w:pPr>
      <w:r w:rsidRPr="00387F15">
        <w:rPr>
          <w:rFonts w:cs="Arial"/>
          <w:sz w:val="24"/>
          <w:szCs w:val="24"/>
        </w:rPr>
        <w:t>Plachkinova, M. (2025). Data Privacy Regulations in the Gaming Industry. ScienceDirect.</w:t>
      </w:r>
    </w:p>
    <w:p w14:paraId="4233C803" w14:textId="77777777" w:rsidR="00EC1330" w:rsidRPr="00387F15" w:rsidRDefault="00000000" w:rsidP="00387F15">
      <w:pPr>
        <w:spacing w:line="360" w:lineRule="auto"/>
        <w:ind w:firstLine="709"/>
        <w:rPr>
          <w:rFonts w:cs="Arial"/>
          <w:sz w:val="24"/>
          <w:szCs w:val="24"/>
        </w:rPr>
      </w:pPr>
      <w:r w:rsidRPr="00387F15">
        <w:rPr>
          <w:rFonts w:cs="Arial"/>
          <w:sz w:val="24"/>
          <w:szCs w:val="24"/>
        </w:rPr>
        <w:t>Van Arkel, J. (2025). Video games and speech privacy: A case study of Fortnite. Inria.</w:t>
      </w:r>
    </w:p>
    <w:p w14:paraId="578CF8AD" w14:textId="77777777" w:rsidR="00EC1330" w:rsidRPr="00387F15" w:rsidRDefault="00000000" w:rsidP="00387F15">
      <w:pPr>
        <w:spacing w:line="360" w:lineRule="auto"/>
        <w:ind w:firstLine="709"/>
        <w:rPr>
          <w:rFonts w:cs="Arial"/>
          <w:sz w:val="24"/>
          <w:szCs w:val="24"/>
        </w:rPr>
      </w:pPr>
      <w:r w:rsidRPr="00387F15">
        <w:rPr>
          <w:rFonts w:cs="Arial"/>
          <w:sz w:val="24"/>
          <w:szCs w:val="24"/>
        </w:rPr>
        <w:t>Wang, T. (2022). An Analysis of Mobile Gaming Apps' Privacy Policies. IEEE Xplore.</w:t>
      </w:r>
    </w:p>
    <w:p w14:paraId="562CD9AA" w14:textId="77777777" w:rsidR="00EC1330" w:rsidRPr="00387F15" w:rsidRDefault="00000000" w:rsidP="00387F15">
      <w:pPr>
        <w:spacing w:line="360" w:lineRule="auto"/>
        <w:ind w:firstLine="709"/>
        <w:rPr>
          <w:rFonts w:cs="Arial"/>
          <w:sz w:val="24"/>
          <w:szCs w:val="24"/>
        </w:rPr>
      </w:pPr>
      <w:r w:rsidRPr="00387F15">
        <w:rPr>
          <w:rFonts w:cs="Arial"/>
          <w:sz w:val="24"/>
          <w:szCs w:val="24"/>
        </w:rPr>
        <w:t>Jordan, Z. (2020). The Effect of the EU GDPR on the Gaming Industry. UNLV Gaming Law Journal.</w:t>
      </w:r>
    </w:p>
    <w:p w14:paraId="11A74047" w14:textId="77777777" w:rsidR="00EC1330" w:rsidRPr="00387F15" w:rsidRDefault="00000000" w:rsidP="00387F15">
      <w:pPr>
        <w:spacing w:line="360" w:lineRule="auto"/>
        <w:ind w:firstLine="709"/>
        <w:rPr>
          <w:rFonts w:cs="Arial"/>
          <w:sz w:val="24"/>
          <w:szCs w:val="24"/>
        </w:rPr>
      </w:pPr>
      <w:r w:rsidRPr="00387F15">
        <w:rPr>
          <w:rFonts w:cs="Arial"/>
          <w:sz w:val="24"/>
          <w:szCs w:val="24"/>
        </w:rPr>
        <w:t>Mihus, O. (2024). IT Law and its Impact on the Computer Games Industry. Public Administration &amp; Law Review.</w:t>
      </w:r>
    </w:p>
    <w:p w14:paraId="58599E63" w14:textId="77777777" w:rsidR="00EC1330" w:rsidRPr="00387F15" w:rsidRDefault="00000000" w:rsidP="00387F15">
      <w:pPr>
        <w:spacing w:line="360" w:lineRule="auto"/>
        <w:ind w:firstLine="709"/>
        <w:rPr>
          <w:rFonts w:cs="Arial"/>
          <w:sz w:val="24"/>
          <w:szCs w:val="24"/>
        </w:rPr>
      </w:pPr>
      <w:r w:rsidRPr="00387F15">
        <w:rPr>
          <w:rFonts w:cs="Arial"/>
          <w:sz w:val="24"/>
          <w:szCs w:val="24"/>
        </w:rPr>
        <w:t>Su, C., et al. (2023). Privacy Is the Price: Player Views and Technical Evaluation. ACM Digital Library.</w:t>
      </w:r>
    </w:p>
    <w:p w14:paraId="011E1775" w14:textId="77777777" w:rsidR="00EC1330" w:rsidRPr="00387F15" w:rsidRDefault="00000000" w:rsidP="00387F15">
      <w:pPr>
        <w:spacing w:line="360" w:lineRule="auto"/>
        <w:ind w:firstLine="709"/>
        <w:rPr>
          <w:rFonts w:cs="Arial"/>
          <w:sz w:val="24"/>
          <w:szCs w:val="24"/>
        </w:rPr>
      </w:pPr>
      <w:r w:rsidRPr="00387F15">
        <w:rPr>
          <w:rFonts w:cs="Arial"/>
          <w:sz w:val="24"/>
          <w:szCs w:val="24"/>
        </w:rPr>
        <w:t>Kröger, J. L., et al. (2024). Ethics and Transparency in Game Data. ACM Digital Library.</w:t>
      </w:r>
    </w:p>
    <w:p w14:paraId="7A768EA9" w14:textId="77777777" w:rsidR="00EC1330" w:rsidRPr="00387F15" w:rsidRDefault="00000000" w:rsidP="00387F15">
      <w:pPr>
        <w:spacing w:line="360" w:lineRule="auto"/>
        <w:ind w:firstLine="709"/>
        <w:rPr>
          <w:rFonts w:cs="Arial"/>
          <w:sz w:val="24"/>
          <w:szCs w:val="24"/>
        </w:rPr>
      </w:pPr>
      <w:r w:rsidRPr="00387F15">
        <w:rPr>
          <w:rFonts w:cs="Arial"/>
          <w:sz w:val="24"/>
          <w:szCs w:val="24"/>
        </w:rPr>
        <w:t>Zaeem, R. N., et al. (2021). Investigating privacy concerns in mobile augmented reality. Computers in Human Behavior.</w:t>
      </w:r>
    </w:p>
    <w:p w14:paraId="314BDB37" w14:textId="77777777" w:rsidR="00EC1330" w:rsidRPr="00387F15" w:rsidRDefault="00000000" w:rsidP="00387F15">
      <w:pPr>
        <w:spacing w:line="360" w:lineRule="auto"/>
        <w:ind w:firstLine="709"/>
        <w:rPr>
          <w:rFonts w:cs="Arial"/>
          <w:sz w:val="24"/>
          <w:szCs w:val="24"/>
        </w:rPr>
      </w:pPr>
      <w:r w:rsidRPr="00387F15">
        <w:rPr>
          <w:rFonts w:cs="Arial"/>
          <w:sz w:val="24"/>
          <w:szCs w:val="24"/>
        </w:rPr>
        <w:t>Roesner, F., et al. (2021). Augmented reality and ethics: key issues. Springer Nature.</w:t>
      </w:r>
    </w:p>
    <w:p w14:paraId="462588B3" w14:textId="77777777" w:rsidR="00EC1330" w:rsidRPr="00387F15" w:rsidRDefault="00000000" w:rsidP="00387F15">
      <w:pPr>
        <w:spacing w:line="360" w:lineRule="auto"/>
        <w:ind w:firstLine="709"/>
        <w:rPr>
          <w:rFonts w:cs="Arial"/>
          <w:sz w:val="24"/>
          <w:szCs w:val="24"/>
        </w:rPr>
      </w:pPr>
      <w:r w:rsidRPr="00387F15">
        <w:rPr>
          <w:rFonts w:cs="Arial"/>
          <w:sz w:val="24"/>
          <w:szCs w:val="24"/>
        </w:rPr>
        <w:t>Wassom, B. D. (2014). Augmented reality law, privacy, and ethics. Syngress.</w:t>
      </w:r>
    </w:p>
    <w:p w14:paraId="28FA0BF4" w14:textId="77777777" w:rsidR="00EC1330" w:rsidRPr="00387F15" w:rsidRDefault="00000000" w:rsidP="00387F15">
      <w:pPr>
        <w:spacing w:line="360" w:lineRule="auto"/>
        <w:ind w:firstLine="709"/>
        <w:rPr>
          <w:rFonts w:cs="Arial"/>
          <w:sz w:val="24"/>
          <w:szCs w:val="24"/>
        </w:rPr>
      </w:pPr>
      <w:r w:rsidRPr="00387F15">
        <w:rPr>
          <w:rFonts w:cs="Arial"/>
          <w:sz w:val="24"/>
          <w:szCs w:val="24"/>
        </w:rPr>
        <w:t>Slater, M., et al. (2020). Ethics of Realism in Virtual and Augmented Reality. Frontiers in Virtual Reality.</w:t>
      </w:r>
    </w:p>
    <w:p w14:paraId="1BA949B6" w14:textId="77777777" w:rsidR="00EC1330" w:rsidRPr="00387F15" w:rsidRDefault="00000000" w:rsidP="00387F15">
      <w:pPr>
        <w:spacing w:line="360" w:lineRule="auto"/>
        <w:ind w:firstLine="709"/>
        <w:rPr>
          <w:rFonts w:cs="Arial"/>
          <w:sz w:val="24"/>
          <w:szCs w:val="24"/>
        </w:rPr>
      </w:pPr>
      <w:r w:rsidRPr="00387F15">
        <w:rPr>
          <w:rFonts w:cs="Arial"/>
          <w:sz w:val="24"/>
          <w:szCs w:val="24"/>
        </w:rPr>
        <w:t>O'Brolchain, F., et al. (2016). The Ethics of Smart City Gaming. Journal of Information, Communication and Ethics in Society.</w:t>
      </w:r>
    </w:p>
    <w:p w14:paraId="43C1D58A" w14:textId="2433EB90" w:rsidR="00134021" w:rsidRPr="00134021" w:rsidRDefault="00000000" w:rsidP="001623CD">
      <w:pPr>
        <w:spacing w:line="360" w:lineRule="auto"/>
        <w:ind w:firstLine="709"/>
        <w:rPr>
          <w:rFonts w:cs="Arial"/>
          <w:sz w:val="24"/>
          <w:szCs w:val="24"/>
        </w:rPr>
      </w:pPr>
      <w:r w:rsidRPr="00387F15">
        <w:rPr>
          <w:rFonts w:cs="Arial"/>
          <w:sz w:val="24"/>
          <w:szCs w:val="24"/>
        </w:rPr>
        <w:t>Kokol, P., et al. (2020). Scoping Review of GDPR Effects on Serious Games Research. ResearchGate.</w:t>
      </w:r>
      <w:r w:rsidR="00134021" w:rsidRPr="00134021">
        <w:rPr>
          <w:rFonts w:cs="Arial"/>
          <w:sz w:val="24"/>
          <w:szCs w:val="24"/>
          <w:lang w:val="pt-BR"/>
        </w:rPr>
        <w:t>.</w:t>
      </w:r>
    </w:p>
    <w:p w14:paraId="7E29E140" w14:textId="77777777" w:rsidR="00134021" w:rsidRPr="00134021" w:rsidRDefault="00134021" w:rsidP="00134021">
      <w:pPr>
        <w:spacing w:line="360" w:lineRule="auto"/>
        <w:ind w:firstLine="709"/>
        <w:rPr>
          <w:rFonts w:cs="Arial"/>
          <w:sz w:val="24"/>
          <w:szCs w:val="24"/>
          <w:lang w:val="pt-BR"/>
        </w:rPr>
      </w:pPr>
      <w:r w:rsidRPr="00134021">
        <w:rPr>
          <w:rFonts w:cs="Arial"/>
          <w:sz w:val="24"/>
          <w:szCs w:val="24"/>
          <w:lang w:val="pt-BR"/>
        </w:rPr>
        <w:lastRenderedPageBreak/>
        <w:t xml:space="preserve">Griffiths, M. D. (2005). Online data </w:t>
      </w:r>
      <w:proofErr w:type="spellStart"/>
      <w:r w:rsidRPr="00134021">
        <w:rPr>
          <w:rFonts w:cs="Arial"/>
          <w:sz w:val="24"/>
          <w:szCs w:val="24"/>
          <w:lang w:val="pt-BR"/>
        </w:rPr>
        <w:t>collection</w:t>
      </w:r>
      <w:proofErr w:type="spellEnd"/>
      <w:r w:rsidRPr="00134021">
        <w:rPr>
          <w:rFonts w:cs="Arial"/>
          <w:sz w:val="24"/>
          <w:szCs w:val="24"/>
          <w:lang w:val="pt-BR"/>
        </w:rPr>
        <w:t xml:space="preserve"> </w:t>
      </w:r>
      <w:proofErr w:type="spellStart"/>
      <w:r w:rsidRPr="00134021">
        <w:rPr>
          <w:rFonts w:cs="Arial"/>
          <w:sz w:val="24"/>
          <w:szCs w:val="24"/>
          <w:lang w:val="pt-BR"/>
        </w:rPr>
        <w:t>from</w:t>
      </w:r>
      <w:proofErr w:type="spellEnd"/>
      <w:r w:rsidRPr="00134021">
        <w:rPr>
          <w:rFonts w:cs="Arial"/>
          <w:sz w:val="24"/>
          <w:szCs w:val="24"/>
          <w:lang w:val="pt-BR"/>
        </w:rPr>
        <w:t xml:space="preserve"> </w:t>
      </w:r>
      <w:proofErr w:type="spellStart"/>
      <w:r w:rsidRPr="00134021">
        <w:rPr>
          <w:rFonts w:cs="Arial"/>
          <w:sz w:val="24"/>
          <w:szCs w:val="24"/>
          <w:lang w:val="pt-BR"/>
        </w:rPr>
        <w:t>video</w:t>
      </w:r>
      <w:proofErr w:type="spellEnd"/>
      <w:r w:rsidRPr="00134021">
        <w:rPr>
          <w:rFonts w:cs="Arial"/>
          <w:sz w:val="24"/>
          <w:szCs w:val="24"/>
          <w:lang w:val="pt-BR"/>
        </w:rPr>
        <w:t xml:space="preserve"> game players. </w:t>
      </w:r>
      <w:proofErr w:type="spellStart"/>
      <w:r w:rsidRPr="00134021">
        <w:rPr>
          <w:rFonts w:cs="Arial"/>
          <w:i/>
          <w:iCs/>
          <w:sz w:val="24"/>
          <w:szCs w:val="24"/>
          <w:lang w:val="pt-BR"/>
        </w:rPr>
        <w:t>CyberPsychology</w:t>
      </w:r>
      <w:proofErr w:type="spellEnd"/>
      <w:r w:rsidRPr="00134021">
        <w:rPr>
          <w:rFonts w:cs="Arial"/>
          <w:i/>
          <w:iCs/>
          <w:sz w:val="24"/>
          <w:szCs w:val="24"/>
          <w:lang w:val="pt-BR"/>
        </w:rPr>
        <w:t xml:space="preserve"> &amp; </w:t>
      </w:r>
      <w:proofErr w:type="spellStart"/>
      <w:r w:rsidRPr="00134021">
        <w:rPr>
          <w:rFonts w:cs="Arial"/>
          <w:i/>
          <w:iCs/>
          <w:sz w:val="24"/>
          <w:szCs w:val="24"/>
          <w:lang w:val="pt-BR"/>
        </w:rPr>
        <w:t>Behavior</w:t>
      </w:r>
      <w:proofErr w:type="spellEnd"/>
      <w:r w:rsidRPr="00134021">
        <w:rPr>
          <w:rFonts w:cs="Arial"/>
          <w:sz w:val="24"/>
          <w:szCs w:val="24"/>
          <w:lang w:val="pt-BR"/>
        </w:rPr>
        <w:t>.</w:t>
      </w:r>
    </w:p>
    <w:p w14:paraId="27B35774" w14:textId="77777777" w:rsidR="00134021" w:rsidRPr="00134021" w:rsidRDefault="00134021" w:rsidP="00134021">
      <w:pPr>
        <w:spacing w:line="360" w:lineRule="auto"/>
        <w:ind w:firstLine="709"/>
        <w:rPr>
          <w:rFonts w:cs="Arial"/>
          <w:sz w:val="24"/>
          <w:szCs w:val="24"/>
          <w:lang w:val="pt-BR"/>
        </w:rPr>
      </w:pPr>
    </w:p>
    <w:p w14:paraId="262EB2B7" w14:textId="77777777" w:rsidR="00134021" w:rsidRPr="00134021" w:rsidRDefault="00134021" w:rsidP="00134021">
      <w:pPr>
        <w:spacing w:line="360" w:lineRule="auto"/>
        <w:ind w:firstLine="709"/>
        <w:rPr>
          <w:rFonts w:cs="Arial"/>
          <w:sz w:val="24"/>
          <w:szCs w:val="24"/>
          <w:lang w:val="pt-BR"/>
        </w:rPr>
      </w:pPr>
      <w:r w:rsidRPr="00134021">
        <w:rPr>
          <w:rFonts w:cs="Arial"/>
          <w:sz w:val="24"/>
          <w:szCs w:val="24"/>
          <w:lang w:val="pt-BR"/>
        </w:rPr>
        <w:t>El-Nasr, M. S., et al. (2020). Data-</w:t>
      </w:r>
      <w:proofErr w:type="spellStart"/>
      <w:r w:rsidRPr="00134021">
        <w:rPr>
          <w:rFonts w:cs="Arial"/>
          <w:sz w:val="24"/>
          <w:szCs w:val="24"/>
          <w:lang w:val="pt-BR"/>
        </w:rPr>
        <w:t>Driven</w:t>
      </w:r>
      <w:proofErr w:type="spellEnd"/>
      <w:r w:rsidRPr="00134021">
        <w:rPr>
          <w:rFonts w:cs="Arial"/>
          <w:sz w:val="24"/>
          <w:szCs w:val="24"/>
          <w:lang w:val="pt-BR"/>
        </w:rPr>
        <w:t xml:space="preserve"> Game </w:t>
      </w:r>
      <w:proofErr w:type="spellStart"/>
      <w:r w:rsidRPr="00134021">
        <w:rPr>
          <w:rFonts w:cs="Arial"/>
          <w:sz w:val="24"/>
          <w:szCs w:val="24"/>
          <w:lang w:val="pt-BR"/>
        </w:rPr>
        <w:t>Development</w:t>
      </w:r>
      <w:proofErr w:type="spellEnd"/>
      <w:r w:rsidRPr="00134021">
        <w:rPr>
          <w:rFonts w:cs="Arial"/>
          <w:sz w:val="24"/>
          <w:szCs w:val="24"/>
          <w:lang w:val="pt-BR"/>
        </w:rPr>
        <w:t xml:space="preserve">: </w:t>
      </w:r>
      <w:proofErr w:type="spellStart"/>
      <w:r w:rsidRPr="00134021">
        <w:rPr>
          <w:rFonts w:cs="Arial"/>
          <w:sz w:val="24"/>
          <w:szCs w:val="24"/>
          <w:lang w:val="pt-BR"/>
        </w:rPr>
        <w:t>Ethical</w:t>
      </w:r>
      <w:proofErr w:type="spellEnd"/>
      <w:r w:rsidRPr="00134021">
        <w:rPr>
          <w:rFonts w:cs="Arial"/>
          <w:sz w:val="24"/>
          <w:szCs w:val="24"/>
          <w:lang w:val="pt-BR"/>
        </w:rPr>
        <w:t xml:space="preserve"> </w:t>
      </w:r>
      <w:proofErr w:type="spellStart"/>
      <w:r w:rsidRPr="00134021">
        <w:rPr>
          <w:rFonts w:cs="Arial"/>
          <w:sz w:val="24"/>
          <w:szCs w:val="24"/>
          <w:lang w:val="pt-BR"/>
        </w:rPr>
        <w:t>Considerations</w:t>
      </w:r>
      <w:proofErr w:type="spellEnd"/>
      <w:r w:rsidRPr="00134021">
        <w:rPr>
          <w:rFonts w:cs="Arial"/>
          <w:sz w:val="24"/>
          <w:szCs w:val="24"/>
          <w:lang w:val="pt-BR"/>
        </w:rPr>
        <w:t xml:space="preserve">. </w:t>
      </w:r>
      <w:proofErr w:type="spellStart"/>
      <w:r w:rsidRPr="00134021">
        <w:rPr>
          <w:rFonts w:cs="Arial"/>
          <w:i/>
          <w:iCs/>
          <w:sz w:val="24"/>
          <w:szCs w:val="24"/>
          <w:lang w:val="pt-BR"/>
        </w:rPr>
        <w:t>arXiv</w:t>
      </w:r>
      <w:proofErr w:type="spellEnd"/>
      <w:r w:rsidRPr="00134021">
        <w:rPr>
          <w:rFonts w:cs="Arial"/>
          <w:sz w:val="24"/>
          <w:szCs w:val="24"/>
          <w:lang w:val="pt-BR"/>
        </w:rPr>
        <w:t>.</w:t>
      </w:r>
    </w:p>
    <w:p w14:paraId="688AEB72" w14:textId="77777777" w:rsidR="00134021" w:rsidRPr="00134021" w:rsidRDefault="00134021" w:rsidP="00134021">
      <w:pPr>
        <w:spacing w:line="360" w:lineRule="auto"/>
        <w:ind w:firstLine="709"/>
        <w:rPr>
          <w:rFonts w:cs="Arial"/>
          <w:sz w:val="24"/>
          <w:szCs w:val="24"/>
          <w:lang w:val="pt-BR"/>
        </w:rPr>
      </w:pPr>
    </w:p>
    <w:p w14:paraId="347773DE" w14:textId="77777777" w:rsidR="00134021" w:rsidRPr="00134021" w:rsidRDefault="00134021" w:rsidP="00134021">
      <w:pPr>
        <w:spacing w:line="360" w:lineRule="auto"/>
        <w:ind w:firstLine="709"/>
        <w:rPr>
          <w:rFonts w:cs="Arial"/>
          <w:sz w:val="24"/>
          <w:szCs w:val="24"/>
          <w:lang w:val="pt-BR"/>
        </w:rPr>
      </w:pPr>
      <w:r w:rsidRPr="00134021">
        <w:rPr>
          <w:rFonts w:cs="Arial"/>
          <w:sz w:val="24"/>
          <w:szCs w:val="24"/>
          <w:lang w:val="pt-BR"/>
        </w:rPr>
        <w:t xml:space="preserve">Kim, J., et al. (2021). </w:t>
      </w:r>
      <w:proofErr w:type="spellStart"/>
      <w:r w:rsidRPr="00134021">
        <w:rPr>
          <w:rFonts w:cs="Arial"/>
          <w:sz w:val="24"/>
          <w:szCs w:val="24"/>
          <w:lang w:val="pt-BR"/>
        </w:rPr>
        <w:t>Ethical</w:t>
      </w:r>
      <w:proofErr w:type="spellEnd"/>
      <w:r w:rsidRPr="00134021">
        <w:rPr>
          <w:rFonts w:cs="Arial"/>
          <w:sz w:val="24"/>
          <w:szCs w:val="24"/>
          <w:lang w:val="pt-BR"/>
        </w:rPr>
        <w:t xml:space="preserve"> </w:t>
      </w:r>
      <w:proofErr w:type="spellStart"/>
      <w:r w:rsidRPr="00134021">
        <w:rPr>
          <w:rFonts w:cs="Arial"/>
          <w:sz w:val="24"/>
          <w:szCs w:val="24"/>
          <w:lang w:val="pt-BR"/>
        </w:rPr>
        <w:t>Issues</w:t>
      </w:r>
      <w:proofErr w:type="spellEnd"/>
      <w:r w:rsidRPr="00134021">
        <w:rPr>
          <w:rFonts w:cs="Arial"/>
          <w:sz w:val="24"/>
          <w:szCs w:val="24"/>
          <w:lang w:val="pt-BR"/>
        </w:rPr>
        <w:t xml:space="preserve"> in </w:t>
      </w:r>
      <w:proofErr w:type="spellStart"/>
      <w:r w:rsidRPr="00134021">
        <w:rPr>
          <w:rFonts w:cs="Arial"/>
          <w:sz w:val="24"/>
          <w:szCs w:val="24"/>
          <w:lang w:val="pt-BR"/>
        </w:rPr>
        <w:t>Playing</w:t>
      </w:r>
      <w:proofErr w:type="spellEnd"/>
      <w:r w:rsidRPr="00134021">
        <w:rPr>
          <w:rFonts w:cs="Arial"/>
          <w:sz w:val="24"/>
          <w:szCs w:val="24"/>
          <w:lang w:val="pt-BR"/>
        </w:rPr>
        <w:t xml:space="preserve"> </w:t>
      </w:r>
      <w:proofErr w:type="spellStart"/>
      <w:r w:rsidRPr="00134021">
        <w:rPr>
          <w:rFonts w:cs="Arial"/>
          <w:sz w:val="24"/>
          <w:szCs w:val="24"/>
          <w:lang w:val="pt-BR"/>
        </w:rPr>
        <w:t>Location-Based</w:t>
      </w:r>
      <w:proofErr w:type="spellEnd"/>
      <w:r w:rsidRPr="00134021">
        <w:rPr>
          <w:rFonts w:cs="Arial"/>
          <w:sz w:val="24"/>
          <w:szCs w:val="24"/>
          <w:lang w:val="pt-BR"/>
        </w:rPr>
        <w:t xml:space="preserve"> AR Games: Pokémon GO. </w:t>
      </w:r>
      <w:proofErr w:type="spellStart"/>
      <w:r w:rsidRPr="00134021">
        <w:rPr>
          <w:rFonts w:cs="Arial"/>
          <w:i/>
          <w:iCs/>
          <w:sz w:val="24"/>
          <w:szCs w:val="24"/>
          <w:lang w:val="pt-BR"/>
        </w:rPr>
        <w:t>International</w:t>
      </w:r>
      <w:proofErr w:type="spellEnd"/>
      <w:r w:rsidRPr="00134021">
        <w:rPr>
          <w:rFonts w:cs="Arial"/>
          <w:i/>
          <w:iCs/>
          <w:sz w:val="24"/>
          <w:szCs w:val="24"/>
          <w:lang w:val="pt-BR"/>
        </w:rPr>
        <w:t xml:space="preserve"> </w:t>
      </w:r>
      <w:proofErr w:type="spellStart"/>
      <w:r w:rsidRPr="00134021">
        <w:rPr>
          <w:rFonts w:cs="Arial"/>
          <w:i/>
          <w:iCs/>
          <w:sz w:val="24"/>
          <w:szCs w:val="24"/>
          <w:lang w:val="pt-BR"/>
        </w:rPr>
        <w:t>Journal</w:t>
      </w:r>
      <w:proofErr w:type="spellEnd"/>
      <w:r w:rsidRPr="00134021">
        <w:rPr>
          <w:rFonts w:cs="Arial"/>
          <w:i/>
          <w:iCs/>
          <w:sz w:val="24"/>
          <w:szCs w:val="24"/>
          <w:lang w:val="pt-BR"/>
        </w:rPr>
        <w:t xml:space="preserve"> </w:t>
      </w:r>
      <w:proofErr w:type="spellStart"/>
      <w:r w:rsidRPr="00134021">
        <w:rPr>
          <w:rFonts w:cs="Arial"/>
          <w:i/>
          <w:iCs/>
          <w:sz w:val="24"/>
          <w:szCs w:val="24"/>
          <w:lang w:val="pt-BR"/>
        </w:rPr>
        <w:t>of</w:t>
      </w:r>
      <w:proofErr w:type="spellEnd"/>
      <w:r w:rsidRPr="00134021">
        <w:rPr>
          <w:rFonts w:cs="Arial"/>
          <w:i/>
          <w:iCs/>
          <w:sz w:val="24"/>
          <w:szCs w:val="24"/>
          <w:lang w:val="pt-BR"/>
        </w:rPr>
        <w:t xml:space="preserve"> </w:t>
      </w:r>
      <w:proofErr w:type="spellStart"/>
      <w:r w:rsidRPr="00134021">
        <w:rPr>
          <w:rFonts w:cs="Arial"/>
          <w:i/>
          <w:iCs/>
          <w:sz w:val="24"/>
          <w:szCs w:val="24"/>
          <w:lang w:val="pt-BR"/>
        </w:rPr>
        <w:t>Human</w:t>
      </w:r>
      <w:proofErr w:type="spellEnd"/>
      <w:r w:rsidRPr="00134021">
        <w:rPr>
          <w:rFonts w:cs="Arial"/>
          <w:i/>
          <w:iCs/>
          <w:sz w:val="24"/>
          <w:szCs w:val="24"/>
          <w:lang w:val="pt-BR"/>
        </w:rPr>
        <w:t xml:space="preserve">–Computer </w:t>
      </w:r>
      <w:proofErr w:type="spellStart"/>
      <w:r w:rsidRPr="00134021">
        <w:rPr>
          <w:rFonts w:cs="Arial"/>
          <w:i/>
          <w:iCs/>
          <w:sz w:val="24"/>
          <w:szCs w:val="24"/>
          <w:lang w:val="pt-BR"/>
        </w:rPr>
        <w:t>Interaction</w:t>
      </w:r>
      <w:proofErr w:type="spellEnd"/>
      <w:r w:rsidRPr="00134021">
        <w:rPr>
          <w:rFonts w:cs="Arial"/>
          <w:sz w:val="24"/>
          <w:szCs w:val="24"/>
          <w:lang w:val="pt-BR"/>
        </w:rPr>
        <w:t>.</w:t>
      </w:r>
    </w:p>
    <w:p w14:paraId="01D9A007" w14:textId="77777777" w:rsidR="00134021" w:rsidRPr="00134021" w:rsidRDefault="00134021" w:rsidP="00134021">
      <w:pPr>
        <w:spacing w:line="360" w:lineRule="auto"/>
        <w:ind w:firstLine="709"/>
        <w:rPr>
          <w:rFonts w:cs="Arial"/>
          <w:sz w:val="24"/>
          <w:szCs w:val="24"/>
          <w:lang w:val="pt-BR"/>
        </w:rPr>
      </w:pPr>
      <w:r w:rsidRPr="00134021">
        <w:rPr>
          <w:rFonts w:cs="Arial"/>
          <w:sz w:val="24"/>
          <w:szCs w:val="24"/>
          <w:lang w:val="pt-BR"/>
        </w:rPr>
        <w:t xml:space="preserve">Belli, L., et al. (2020). GDPR </w:t>
      </w:r>
      <w:proofErr w:type="spellStart"/>
      <w:r w:rsidRPr="00134021">
        <w:rPr>
          <w:rFonts w:cs="Arial"/>
          <w:sz w:val="24"/>
          <w:szCs w:val="24"/>
          <w:lang w:val="pt-BR"/>
        </w:rPr>
        <w:t>and</w:t>
      </w:r>
      <w:proofErr w:type="spellEnd"/>
      <w:r w:rsidRPr="00134021">
        <w:rPr>
          <w:rFonts w:cs="Arial"/>
          <w:sz w:val="24"/>
          <w:szCs w:val="24"/>
          <w:lang w:val="pt-BR"/>
        </w:rPr>
        <w:t xml:space="preserve"> </w:t>
      </w:r>
      <w:proofErr w:type="spellStart"/>
      <w:r w:rsidRPr="00134021">
        <w:rPr>
          <w:rFonts w:cs="Arial"/>
          <w:sz w:val="24"/>
          <w:szCs w:val="24"/>
          <w:lang w:val="pt-BR"/>
        </w:rPr>
        <w:t>Privacy</w:t>
      </w:r>
      <w:proofErr w:type="spellEnd"/>
      <w:r w:rsidRPr="00134021">
        <w:rPr>
          <w:rFonts w:cs="Arial"/>
          <w:sz w:val="24"/>
          <w:szCs w:val="24"/>
          <w:lang w:val="pt-BR"/>
        </w:rPr>
        <w:t xml:space="preserve"> Policies: </w:t>
      </w:r>
      <w:proofErr w:type="spellStart"/>
      <w:r w:rsidRPr="00134021">
        <w:rPr>
          <w:rFonts w:cs="Arial"/>
          <w:sz w:val="24"/>
          <w:szCs w:val="24"/>
          <w:lang w:val="pt-BR"/>
        </w:rPr>
        <w:t>video</w:t>
      </w:r>
      <w:proofErr w:type="spellEnd"/>
      <w:r w:rsidRPr="00134021">
        <w:rPr>
          <w:rFonts w:cs="Arial"/>
          <w:sz w:val="24"/>
          <w:szCs w:val="24"/>
          <w:lang w:val="pt-BR"/>
        </w:rPr>
        <w:t xml:space="preserve"> games </w:t>
      </w:r>
      <w:proofErr w:type="spellStart"/>
      <w:r w:rsidRPr="00134021">
        <w:rPr>
          <w:rFonts w:cs="Arial"/>
          <w:sz w:val="24"/>
          <w:szCs w:val="24"/>
          <w:lang w:val="pt-BR"/>
        </w:rPr>
        <w:t>companies</w:t>
      </w:r>
      <w:proofErr w:type="spellEnd"/>
      <w:r w:rsidRPr="00134021">
        <w:rPr>
          <w:rFonts w:cs="Arial"/>
          <w:sz w:val="24"/>
          <w:szCs w:val="24"/>
          <w:lang w:val="pt-BR"/>
        </w:rPr>
        <w:t xml:space="preserve">. </w:t>
      </w:r>
      <w:proofErr w:type="spellStart"/>
      <w:r w:rsidRPr="00134021">
        <w:rPr>
          <w:rFonts w:cs="Arial"/>
          <w:i/>
          <w:iCs/>
          <w:sz w:val="24"/>
          <w:szCs w:val="24"/>
          <w:lang w:val="pt-BR"/>
        </w:rPr>
        <w:t>Universidad</w:t>
      </w:r>
      <w:proofErr w:type="spellEnd"/>
      <w:r w:rsidRPr="00134021">
        <w:rPr>
          <w:rFonts w:cs="Arial"/>
          <w:i/>
          <w:iCs/>
          <w:sz w:val="24"/>
          <w:szCs w:val="24"/>
          <w:lang w:val="pt-BR"/>
        </w:rPr>
        <w:t xml:space="preserve"> de Chile</w:t>
      </w:r>
      <w:r w:rsidRPr="00134021">
        <w:rPr>
          <w:rFonts w:cs="Arial"/>
          <w:sz w:val="24"/>
          <w:szCs w:val="24"/>
          <w:lang w:val="pt-BR"/>
        </w:rPr>
        <w:t>.</w:t>
      </w:r>
    </w:p>
    <w:p w14:paraId="14DCD0A9" w14:textId="77777777" w:rsidR="00134021" w:rsidRPr="00134021" w:rsidRDefault="00134021" w:rsidP="00134021">
      <w:pPr>
        <w:spacing w:line="360" w:lineRule="auto"/>
        <w:ind w:firstLine="709"/>
        <w:rPr>
          <w:rFonts w:cs="Arial"/>
          <w:sz w:val="24"/>
          <w:szCs w:val="24"/>
          <w:lang w:val="pt-BR"/>
        </w:rPr>
      </w:pPr>
    </w:p>
    <w:p w14:paraId="60BB1B5D" w14:textId="136EFC69" w:rsidR="0064473E" w:rsidRDefault="00134021" w:rsidP="001623CD">
      <w:pPr>
        <w:spacing w:line="360" w:lineRule="auto"/>
        <w:ind w:firstLine="709"/>
        <w:rPr>
          <w:rFonts w:cs="Arial"/>
          <w:sz w:val="24"/>
          <w:szCs w:val="24"/>
          <w:lang w:val="pt-BR"/>
        </w:rPr>
      </w:pPr>
      <w:r w:rsidRPr="00134021">
        <w:rPr>
          <w:rFonts w:cs="Arial"/>
          <w:sz w:val="24"/>
          <w:szCs w:val="24"/>
          <w:lang w:val="pt-BR"/>
        </w:rPr>
        <w:t xml:space="preserve">Lin, H., et al. (2022). </w:t>
      </w:r>
      <w:proofErr w:type="spellStart"/>
      <w:r w:rsidRPr="00134021">
        <w:rPr>
          <w:rFonts w:cs="Arial"/>
          <w:sz w:val="24"/>
          <w:szCs w:val="24"/>
          <w:lang w:val="pt-BR"/>
        </w:rPr>
        <w:t>Privacy</w:t>
      </w:r>
      <w:proofErr w:type="spellEnd"/>
      <w:r w:rsidRPr="00134021">
        <w:rPr>
          <w:rFonts w:cs="Arial"/>
          <w:sz w:val="24"/>
          <w:szCs w:val="24"/>
          <w:lang w:val="pt-BR"/>
        </w:rPr>
        <w:t xml:space="preserve">: A </w:t>
      </w:r>
      <w:proofErr w:type="spellStart"/>
      <w:r w:rsidRPr="00134021">
        <w:rPr>
          <w:rFonts w:cs="Arial"/>
          <w:sz w:val="24"/>
          <w:szCs w:val="24"/>
          <w:lang w:val="pt-BR"/>
        </w:rPr>
        <w:t>myth</w:t>
      </w:r>
      <w:proofErr w:type="spellEnd"/>
      <w:r w:rsidRPr="00134021">
        <w:rPr>
          <w:rFonts w:cs="Arial"/>
          <w:sz w:val="24"/>
          <w:szCs w:val="24"/>
          <w:lang w:val="pt-BR"/>
        </w:rPr>
        <w:t xml:space="preserve"> in online </w:t>
      </w:r>
      <w:proofErr w:type="spellStart"/>
      <w:r w:rsidRPr="00134021">
        <w:rPr>
          <w:rFonts w:cs="Arial"/>
          <w:sz w:val="24"/>
          <w:szCs w:val="24"/>
          <w:lang w:val="pt-BR"/>
        </w:rPr>
        <w:t>gaming</w:t>
      </w:r>
      <w:proofErr w:type="spellEnd"/>
      <w:r w:rsidRPr="00134021">
        <w:rPr>
          <w:rFonts w:cs="Arial"/>
          <w:sz w:val="24"/>
          <w:szCs w:val="24"/>
          <w:lang w:val="pt-BR"/>
        </w:rPr>
        <w:t xml:space="preserve">? </w:t>
      </w:r>
      <w:proofErr w:type="spellStart"/>
      <w:r w:rsidRPr="00134021">
        <w:rPr>
          <w:rFonts w:cs="Arial"/>
          <w:i/>
          <w:iCs/>
          <w:sz w:val="24"/>
          <w:szCs w:val="24"/>
          <w:lang w:val="pt-BR"/>
        </w:rPr>
        <w:t>ResearchGate</w:t>
      </w:r>
      <w:proofErr w:type="spellEnd"/>
      <w:r w:rsidRPr="00134021">
        <w:rPr>
          <w:rFonts w:cs="Arial"/>
          <w:sz w:val="24"/>
          <w:szCs w:val="24"/>
          <w:lang w:val="pt-BR"/>
        </w:rPr>
        <w:t>.</w:t>
      </w:r>
    </w:p>
    <w:p w14:paraId="2C55B837" w14:textId="77777777" w:rsidR="0064473E" w:rsidRDefault="0064473E" w:rsidP="00134021">
      <w:pPr>
        <w:spacing w:line="360" w:lineRule="auto"/>
        <w:ind w:firstLine="709"/>
        <w:rPr>
          <w:rFonts w:cs="Arial"/>
          <w:sz w:val="24"/>
          <w:szCs w:val="24"/>
          <w:lang w:val="pt-BR"/>
        </w:rPr>
      </w:pPr>
    </w:p>
    <w:p w14:paraId="61167BA2" w14:textId="3691CD25" w:rsidR="001623CD" w:rsidRDefault="001623CD" w:rsidP="001623CD">
      <w:pPr>
        <w:spacing w:line="360" w:lineRule="auto"/>
        <w:rPr>
          <w:rFonts w:cs="Arial"/>
          <w:b/>
          <w:bCs/>
          <w:sz w:val="24"/>
          <w:szCs w:val="24"/>
        </w:rPr>
      </w:pPr>
      <w:r w:rsidRPr="0064473E">
        <w:rPr>
          <w:rFonts w:cs="Arial"/>
          <w:b/>
          <w:bCs/>
          <w:sz w:val="24"/>
          <w:szCs w:val="24"/>
        </w:rPr>
        <w:t>APÊNDICE A</w:t>
      </w:r>
      <w:r>
        <w:rPr>
          <w:rFonts w:cs="Arial"/>
          <w:b/>
          <w:bCs/>
          <w:sz w:val="24"/>
          <w:szCs w:val="24"/>
        </w:rPr>
        <w:t xml:space="preserve"> - TABELA 3 - </w:t>
      </w:r>
      <w:r w:rsidRPr="0064473E">
        <w:rPr>
          <w:rFonts w:cs="Arial"/>
          <w:b/>
          <w:bCs/>
          <w:sz w:val="24"/>
          <w:szCs w:val="24"/>
        </w:rPr>
        <w:t>PARA A SISTEMATIZAÇÃO DOS CRITÉRIOS DE INCLUSÃO E EXCLUSÃO ADOTADOS NA SELEÇÃO DOS ESTUDOS REFERENCIADOS NESTA REVISÃO.</w:t>
      </w:r>
    </w:p>
    <w:tbl>
      <w:tblPr>
        <w:tblStyle w:val="Tabelacomgrade"/>
        <w:tblW w:w="0" w:type="auto"/>
        <w:tblLook w:val="04A0" w:firstRow="1" w:lastRow="0" w:firstColumn="1" w:lastColumn="0" w:noHBand="0" w:noVBand="1"/>
      </w:tblPr>
      <w:tblGrid>
        <w:gridCol w:w="4530"/>
        <w:gridCol w:w="4531"/>
      </w:tblGrid>
      <w:tr w:rsidR="00AA3E27" w14:paraId="5DE05179" w14:textId="77777777" w:rsidTr="00AA3E27">
        <w:tc>
          <w:tcPr>
            <w:tcW w:w="4530" w:type="dxa"/>
          </w:tcPr>
          <w:p w14:paraId="5DBA1849" w14:textId="52668A05" w:rsidR="00AA3E27" w:rsidRDefault="00AA3E27" w:rsidP="00AA3E27">
            <w:pPr>
              <w:spacing w:line="360" w:lineRule="auto"/>
              <w:rPr>
                <w:rFonts w:cs="Arial"/>
                <w:sz w:val="24"/>
                <w:szCs w:val="24"/>
                <w:lang w:val="pt-BR"/>
              </w:rPr>
            </w:pPr>
            <w:proofErr w:type="spellStart"/>
            <w:r w:rsidRPr="00AA3E27">
              <w:rPr>
                <w:rFonts w:cs="Arial"/>
                <w:sz w:val="24"/>
                <w:szCs w:val="24"/>
              </w:rPr>
              <w:t>Critérios</w:t>
            </w:r>
            <w:proofErr w:type="spellEnd"/>
            <w:r w:rsidRPr="00AA3E27">
              <w:rPr>
                <w:rFonts w:cs="Arial"/>
                <w:sz w:val="24"/>
                <w:szCs w:val="24"/>
              </w:rPr>
              <w:t xml:space="preserve"> de </w:t>
            </w:r>
            <w:proofErr w:type="spellStart"/>
            <w:r w:rsidRPr="00AA3E27">
              <w:rPr>
                <w:rFonts w:cs="Arial"/>
                <w:sz w:val="24"/>
                <w:szCs w:val="24"/>
              </w:rPr>
              <w:t>Inclusão</w:t>
            </w:r>
            <w:proofErr w:type="spellEnd"/>
          </w:p>
        </w:tc>
        <w:tc>
          <w:tcPr>
            <w:tcW w:w="4531" w:type="dxa"/>
          </w:tcPr>
          <w:p w14:paraId="47428475" w14:textId="1A03E2FC" w:rsidR="00AA3E27" w:rsidRDefault="00AA3E27" w:rsidP="00AA3E27">
            <w:pPr>
              <w:spacing w:line="360" w:lineRule="auto"/>
              <w:rPr>
                <w:rFonts w:cs="Arial"/>
                <w:sz w:val="24"/>
                <w:szCs w:val="24"/>
                <w:lang w:val="pt-BR"/>
              </w:rPr>
            </w:pPr>
            <w:proofErr w:type="spellStart"/>
            <w:r w:rsidRPr="00AA3E27">
              <w:rPr>
                <w:rFonts w:cs="Arial"/>
                <w:sz w:val="24"/>
                <w:szCs w:val="24"/>
              </w:rPr>
              <w:t>Critérios</w:t>
            </w:r>
            <w:proofErr w:type="spellEnd"/>
            <w:r w:rsidRPr="00AA3E27">
              <w:rPr>
                <w:rFonts w:cs="Arial"/>
                <w:sz w:val="24"/>
                <w:szCs w:val="24"/>
              </w:rPr>
              <w:t xml:space="preserve"> de </w:t>
            </w:r>
            <w:proofErr w:type="spellStart"/>
            <w:r w:rsidRPr="00AA3E27">
              <w:rPr>
                <w:rFonts w:cs="Arial"/>
                <w:sz w:val="24"/>
                <w:szCs w:val="24"/>
              </w:rPr>
              <w:t>Exclusão</w:t>
            </w:r>
            <w:proofErr w:type="spellEnd"/>
          </w:p>
        </w:tc>
      </w:tr>
      <w:tr w:rsidR="00AA3E27" w14:paraId="632B4E23" w14:textId="77777777" w:rsidTr="00AA3E27">
        <w:tc>
          <w:tcPr>
            <w:tcW w:w="4530" w:type="dxa"/>
          </w:tcPr>
          <w:p w14:paraId="04758DD8" w14:textId="77777777" w:rsidR="00AA3E27" w:rsidRPr="00AA3E27" w:rsidRDefault="00AA3E27" w:rsidP="00AA3E27">
            <w:pPr>
              <w:spacing w:line="360" w:lineRule="auto"/>
              <w:rPr>
                <w:rFonts w:cs="Arial"/>
                <w:sz w:val="24"/>
                <w:szCs w:val="24"/>
                <w:lang w:val="pt-BR"/>
              </w:rPr>
            </w:pPr>
            <w:r w:rsidRPr="00AA3E27">
              <w:rPr>
                <w:rFonts w:cs="Arial"/>
                <w:sz w:val="24"/>
                <w:szCs w:val="24"/>
                <w:lang w:val="pt-BR"/>
              </w:rPr>
              <w:t>• Artigos científicos revisados por pares.</w:t>
            </w:r>
          </w:p>
          <w:p w14:paraId="2CCF372A" w14:textId="0DCA01FC" w:rsidR="00AA3E27" w:rsidRPr="00AA3E27" w:rsidRDefault="00AA3E27" w:rsidP="00AA3E27">
            <w:pPr>
              <w:spacing w:line="360" w:lineRule="auto"/>
              <w:rPr>
                <w:rFonts w:cs="Arial"/>
                <w:sz w:val="24"/>
                <w:szCs w:val="24"/>
                <w:lang w:val="pt-BR"/>
              </w:rPr>
            </w:pPr>
            <w:r w:rsidRPr="00AA3E27">
              <w:rPr>
                <w:rFonts w:cs="Arial"/>
                <w:sz w:val="24"/>
                <w:szCs w:val="24"/>
                <w:lang w:val="pt-BR"/>
              </w:rPr>
              <w:t>• Publicações nos idiomas português e inglês.</w:t>
            </w:r>
          </w:p>
          <w:p w14:paraId="248419BB" w14:textId="77777777" w:rsidR="00AA3E27" w:rsidRPr="00AA3E27" w:rsidRDefault="00AA3E27" w:rsidP="00AA3E27">
            <w:pPr>
              <w:spacing w:line="360" w:lineRule="auto"/>
              <w:rPr>
                <w:rFonts w:cs="Arial"/>
                <w:sz w:val="24"/>
                <w:szCs w:val="24"/>
                <w:lang w:val="pt-BR"/>
              </w:rPr>
            </w:pPr>
            <w:r w:rsidRPr="00AA3E27">
              <w:rPr>
                <w:rFonts w:cs="Arial"/>
                <w:sz w:val="24"/>
                <w:szCs w:val="24"/>
                <w:lang w:val="pt-BR"/>
              </w:rPr>
              <w:t>• Legislações vigentes (</w:t>
            </w:r>
            <w:proofErr w:type="spellStart"/>
            <w:r w:rsidRPr="00AA3E27">
              <w:rPr>
                <w:rFonts w:cs="Arial"/>
                <w:sz w:val="24"/>
                <w:szCs w:val="24"/>
                <w:lang w:val="pt-BR"/>
              </w:rPr>
              <w:t>ex</w:t>
            </w:r>
            <w:proofErr w:type="spellEnd"/>
            <w:r w:rsidRPr="00AA3E27">
              <w:rPr>
                <w:rFonts w:cs="Arial"/>
                <w:sz w:val="24"/>
                <w:szCs w:val="24"/>
                <w:lang w:val="pt-BR"/>
              </w:rPr>
              <w:t xml:space="preserve">: LGPD, GDPR).  </w:t>
            </w:r>
          </w:p>
          <w:p w14:paraId="7ADBDBBE" w14:textId="77777777" w:rsidR="00AA3E27" w:rsidRPr="00AA3E27" w:rsidRDefault="00AA3E27" w:rsidP="00AA3E27">
            <w:pPr>
              <w:spacing w:line="360" w:lineRule="auto"/>
              <w:rPr>
                <w:rFonts w:cs="Arial"/>
                <w:sz w:val="24"/>
                <w:szCs w:val="24"/>
                <w:lang w:val="pt-BR"/>
              </w:rPr>
            </w:pPr>
            <w:r w:rsidRPr="00AA3E27">
              <w:rPr>
                <w:rFonts w:cs="Arial"/>
                <w:sz w:val="24"/>
                <w:szCs w:val="24"/>
                <w:lang w:val="pt-BR"/>
              </w:rPr>
              <w:t xml:space="preserve">• Documentos técnicos de organismos reconhecidos.  </w:t>
            </w:r>
          </w:p>
          <w:p w14:paraId="5F8A0CCB" w14:textId="77777777" w:rsidR="00AA3E27" w:rsidRPr="00AA3E27" w:rsidRDefault="00AA3E27" w:rsidP="00AA3E27">
            <w:pPr>
              <w:spacing w:line="360" w:lineRule="auto"/>
              <w:rPr>
                <w:rFonts w:cs="Arial"/>
                <w:sz w:val="24"/>
                <w:szCs w:val="24"/>
                <w:lang w:val="pt-BR"/>
              </w:rPr>
            </w:pPr>
            <w:r w:rsidRPr="00AA3E27">
              <w:rPr>
                <w:rFonts w:cs="Arial"/>
                <w:sz w:val="24"/>
                <w:szCs w:val="24"/>
                <w:lang w:val="pt-BR"/>
              </w:rPr>
              <w:t xml:space="preserve">• Trabalhos que abordam diretamente a coleta de dados em jogos.  </w:t>
            </w:r>
          </w:p>
          <w:p w14:paraId="01A2680D" w14:textId="53D32E93" w:rsidR="00AA3E27" w:rsidRDefault="00AA3E27" w:rsidP="00AA3E27">
            <w:pPr>
              <w:spacing w:line="360" w:lineRule="auto"/>
              <w:rPr>
                <w:rFonts w:cs="Arial"/>
                <w:sz w:val="24"/>
                <w:szCs w:val="24"/>
                <w:lang w:val="pt-BR"/>
              </w:rPr>
            </w:pPr>
            <w:r w:rsidRPr="00AA3E27">
              <w:rPr>
                <w:rFonts w:cs="Arial"/>
                <w:sz w:val="24"/>
                <w:szCs w:val="24"/>
                <w:lang w:val="pt-BR"/>
              </w:rPr>
              <w:t xml:space="preserve">• Estudos sobre regulamentação de privacidade no setor de entretenimento.  </w:t>
            </w:r>
          </w:p>
        </w:tc>
        <w:tc>
          <w:tcPr>
            <w:tcW w:w="4531" w:type="dxa"/>
          </w:tcPr>
          <w:p w14:paraId="763E612C" w14:textId="77777777" w:rsidR="00AA3E27" w:rsidRPr="00AA3E27" w:rsidRDefault="00AA3E27" w:rsidP="00AA3E27">
            <w:pPr>
              <w:spacing w:line="360" w:lineRule="auto"/>
              <w:rPr>
                <w:rFonts w:cs="Arial"/>
                <w:sz w:val="24"/>
                <w:szCs w:val="24"/>
                <w:lang w:val="pt-BR"/>
              </w:rPr>
            </w:pPr>
            <w:r w:rsidRPr="00AA3E27">
              <w:rPr>
                <w:rFonts w:cs="Arial"/>
                <w:sz w:val="24"/>
                <w:szCs w:val="24"/>
                <w:lang w:val="pt-BR"/>
              </w:rPr>
              <w:t>• Trabalhos de opinião sem embasamento empírico.</w:t>
            </w:r>
          </w:p>
          <w:p w14:paraId="5222CCB8" w14:textId="77777777" w:rsidR="00AA3E27" w:rsidRPr="00AA3E27" w:rsidRDefault="00AA3E27" w:rsidP="00AA3E27">
            <w:pPr>
              <w:spacing w:line="360" w:lineRule="auto"/>
              <w:rPr>
                <w:rFonts w:cs="Arial"/>
                <w:sz w:val="24"/>
                <w:szCs w:val="24"/>
                <w:lang w:val="pt-BR"/>
              </w:rPr>
            </w:pPr>
            <w:r w:rsidRPr="00AA3E27">
              <w:rPr>
                <w:rFonts w:cs="Arial"/>
                <w:sz w:val="24"/>
                <w:szCs w:val="24"/>
                <w:lang w:val="pt-BR"/>
              </w:rPr>
              <w:t xml:space="preserve">• Publicações anteriores a 2004 sem relevância histórica comprovada.  </w:t>
            </w:r>
          </w:p>
          <w:p w14:paraId="1C1492E0" w14:textId="77777777" w:rsidR="00AA3E27" w:rsidRPr="00AA3E27" w:rsidRDefault="00AA3E27" w:rsidP="00AA3E27">
            <w:pPr>
              <w:spacing w:line="360" w:lineRule="auto"/>
              <w:rPr>
                <w:rFonts w:cs="Arial"/>
                <w:sz w:val="24"/>
                <w:szCs w:val="24"/>
                <w:lang w:val="pt-BR"/>
              </w:rPr>
            </w:pPr>
            <w:r w:rsidRPr="00AA3E27">
              <w:rPr>
                <w:rFonts w:cs="Arial"/>
                <w:sz w:val="24"/>
                <w:szCs w:val="24"/>
                <w:lang w:val="pt-BR"/>
              </w:rPr>
              <w:t xml:space="preserve">• Estudos cujos objetos se distanciam do escopo temático definido.  </w:t>
            </w:r>
          </w:p>
          <w:p w14:paraId="4E7E6D13" w14:textId="5C5361A8" w:rsidR="00AA3E27" w:rsidRDefault="00AA3E27" w:rsidP="00AA3E27">
            <w:pPr>
              <w:spacing w:line="360" w:lineRule="auto"/>
              <w:rPr>
                <w:rFonts w:cs="Arial"/>
                <w:sz w:val="24"/>
                <w:szCs w:val="24"/>
                <w:lang w:val="pt-BR"/>
              </w:rPr>
            </w:pPr>
            <w:r w:rsidRPr="00AA3E27">
              <w:rPr>
                <w:rFonts w:cs="Arial"/>
                <w:sz w:val="24"/>
                <w:szCs w:val="24"/>
                <w:lang w:val="pt-BR"/>
              </w:rPr>
              <w:t>• Artigos que não tratam especificamente do contexto de jogos digitais ou privacidade de dados.</w:t>
            </w:r>
          </w:p>
        </w:tc>
      </w:tr>
    </w:tbl>
    <w:p w14:paraId="6C97B7B1" w14:textId="17A024C4" w:rsidR="001623CD" w:rsidRPr="00AA3E27" w:rsidRDefault="00AA3E27" w:rsidP="001623CD">
      <w:pPr>
        <w:spacing w:line="360" w:lineRule="auto"/>
        <w:rPr>
          <w:rFonts w:cs="Arial"/>
          <w:szCs w:val="20"/>
          <w:lang w:val="pt-BR"/>
        </w:rPr>
      </w:pPr>
      <w:r w:rsidRPr="00AA3E27">
        <w:rPr>
          <w:rFonts w:cs="Arial"/>
          <w:szCs w:val="20"/>
          <w:lang w:val="pt-BR"/>
        </w:rPr>
        <w:t xml:space="preserve">Fonte: </w:t>
      </w:r>
      <w:r w:rsidR="002A65AE">
        <w:rPr>
          <w:rFonts w:cs="Arial"/>
          <w:szCs w:val="20"/>
          <w:lang w:val="pt-BR"/>
        </w:rPr>
        <w:t>E</w:t>
      </w:r>
      <w:r w:rsidRPr="00AA3E27">
        <w:rPr>
          <w:rFonts w:cs="Arial"/>
          <w:szCs w:val="20"/>
          <w:lang w:val="pt-BR"/>
        </w:rPr>
        <w:t>laborada pelos autores</w:t>
      </w:r>
      <w:r>
        <w:rPr>
          <w:rFonts w:cs="Arial"/>
          <w:szCs w:val="20"/>
          <w:lang w:val="pt-BR"/>
        </w:rPr>
        <w:t>.</w:t>
      </w:r>
    </w:p>
    <w:sectPr w:rsidR="001623CD" w:rsidRPr="00AA3E27" w:rsidSect="007D220D">
      <w:footerReference w:type="default" r:id="rId8"/>
      <w:pgSz w:w="11906" w:h="16838"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346B" w14:textId="77777777" w:rsidR="009E0A3B" w:rsidRDefault="009E0A3B" w:rsidP="007D220D">
      <w:pPr>
        <w:spacing w:after="0" w:line="240" w:lineRule="auto"/>
      </w:pPr>
      <w:r>
        <w:separator/>
      </w:r>
    </w:p>
  </w:endnote>
  <w:endnote w:type="continuationSeparator" w:id="0">
    <w:p w14:paraId="6BCAFB45" w14:textId="77777777" w:rsidR="009E0A3B" w:rsidRDefault="009E0A3B" w:rsidP="007D2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085626"/>
      <w:docPartObj>
        <w:docPartGallery w:val="Page Numbers (Bottom of Page)"/>
        <w:docPartUnique/>
      </w:docPartObj>
    </w:sdtPr>
    <w:sdtContent>
      <w:p w14:paraId="7D68AD56" w14:textId="52DDFF96" w:rsidR="00134021" w:rsidRPr="00134021" w:rsidRDefault="00134021">
        <w:pPr>
          <w:pStyle w:val="Rodap"/>
          <w:jc w:val="right"/>
        </w:pPr>
        <w:r w:rsidRPr="00134021">
          <w:fldChar w:fldCharType="begin"/>
        </w:r>
        <w:r w:rsidRPr="00134021">
          <w:instrText>PAGE   \* MERGEFORMAT</w:instrText>
        </w:r>
        <w:r w:rsidRPr="00134021">
          <w:fldChar w:fldCharType="separate"/>
        </w:r>
        <w:r w:rsidRPr="00134021">
          <w:rPr>
            <w:lang w:val="pt-BR"/>
          </w:rPr>
          <w:t>2</w:t>
        </w:r>
        <w:r w:rsidRPr="00134021">
          <w:fldChar w:fldCharType="end"/>
        </w:r>
      </w:p>
    </w:sdtContent>
  </w:sdt>
  <w:p w14:paraId="1BDD7390" w14:textId="77777777" w:rsidR="007D220D" w:rsidRDefault="007D22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51ABD" w14:textId="77777777" w:rsidR="009E0A3B" w:rsidRDefault="009E0A3B" w:rsidP="007D220D">
      <w:pPr>
        <w:spacing w:after="0" w:line="240" w:lineRule="auto"/>
      </w:pPr>
      <w:r>
        <w:separator/>
      </w:r>
    </w:p>
  </w:footnote>
  <w:footnote w:type="continuationSeparator" w:id="0">
    <w:p w14:paraId="3A66B8FF" w14:textId="77777777" w:rsidR="009E0A3B" w:rsidRDefault="009E0A3B" w:rsidP="007D2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67878016">
    <w:abstractNumId w:val="8"/>
  </w:num>
  <w:num w:numId="2" w16cid:durableId="548223829">
    <w:abstractNumId w:val="6"/>
  </w:num>
  <w:num w:numId="3" w16cid:durableId="1881893967">
    <w:abstractNumId w:val="5"/>
  </w:num>
  <w:num w:numId="4" w16cid:durableId="505704866">
    <w:abstractNumId w:val="4"/>
  </w:num>
  <w:num w:numId="5" w16cid:durableId="1068923508">
    <w:abstractNumId w:val="7"/>
  </w:num>
  <w:num w:numId="6" w16cid:durableId="1802575092">
    <w:abstractNumId w:val="3"/>
  </w:num>
  <w:num w:numId="7" w16cid:durableId="1204947283">
    <w:abstractNumId w:val="2"/>
  </w:num>
  <w:num w:numId="8" w16cid:durableId="520780830">
    <w:abstractNumId w:val="1"/>
  </w:num>
  <w:num w:numId="9" w16cid:durableId="1757901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816"/>
    <w:rsid w:val="00071E25"/>
    <w:rsid w:val="00134021"/>
    <w:rsid w:val="0015074B"/>
    <w:rsid w:val="001623CD"/>
    <w:rsid w:val="0029639D"/>
    <w:rsid w:val="002A65AE"/>
    <w:rsid w:val="00326F90"/>
    <w:rsid w:val="00387F15"/>
    <w:rsid w:val="0064473E"/>
    <w:rsid w:val="007D220D"/>
    <w:rsid w:val="00806E5B"/>
    <w:rsid w:val="009E0A3B"/>
    <w:rsid w:val="00AA1D8D"/>
    <w:rsid w:val="00AA3E27"/>
    <w:rsid w:val="00B30F81"/>
    <w:rsid w:val="00B47730"/>
    <w:rsid w:val="00BF5132"/>
    <w:rsid w:val="00C17870"/>
    <w:rsid w:val="00CB0664"/>
    <w:rsid w:val="00E75E04"/>
    <w:rsid w:val="00EC1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763D1"/>
  <w14:defaultImageDpi w14:val="300"/>
  <w15:docId w15:val="{CECD7D41-6DB5-4BE0-92D6-D453564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tLeast"/>
      <w:jc w:val="both"/>
    </w:pPr>
    <w:rPr>
      <w:rFonts w:ascii="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2896</Words>
  <Characters>15642</Characters>
  <Application>Microsoft Office Word</Application>
  <DocSecurity>0</DocSecurity>
  <Lines>130</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Karen Della Pietra</cp:lastModifiedBy>
  <cp:revision>4</cp:revision>
  <dcterms:created xsi:type="dcterms:W3CDTF">2026-04-09T23:22:00Z</dcterms:created>
  <dcterms:modified xsi:type="dcterms:W3CDTF">2026-04-10T00:05:00Z</dcterms:modified>
  <cp:category/>
</cp:coreProperties>
</file>