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2C5F8A"/>
          <w:sz w:val="28"/>
          <w:szCs w:val="28"/>
        </w:rPr>
        <w:t xml:space="preserve">TRANSTORNO PSICOLÓGICO CAUSADO PELO VÍCIO EM GAMES E CONSEQUÊNCIAS NA VIDA COTIDIANA</w:t>
      </w:r>
    </w:p>
    <w:p>
      <w:pPr>
        <w:spacing w:after="80" w:before="80"/>
        <w:jc w:val="center"/>
      </w:pPr>
      <w:r>
        <w:rPr>
          <w:rFonts w:ascii="Arial" w:cs="Arial" w:eastAsia="Arial" w:hAnsi="Arial"/>
          <w:b w:val="false"/>
          <w:bCs w:val="false"/>
          <w:i/>
          <w:iCs/>
          <w:color w:val="555555"/>
          <w:sz w:val="22"/>
          <w:szCs w:val="22"/>
        </w:rPr>
        <w:t xml:space="preserve">PSYCHOLOGICAL DISORDER CAUSED BY VIDEO GAME ADDICTION AND CONSEQUENCES IN DAILY LIFE</w:t>
      </w:r>
    </w:p>
    <w:p>
      <w:pPr>
        <w:spacing w:after="80" w:before="80"/>
      </w:pPr>
      <w:r>
        <w:t xml:space="preserve"/>
      </w:r>
    </w:p>
    <w:p>
      <w:pPr>
        <w:spacing w:after="40" w:before="80"/>
        <w:jc w:val="center"/>
      </w:pPr>
      <w:r>
        <w:rPr>
          <w:rFonts w:ascii="Arial" w:cs="Arial" w:eastAsia="Arial" w:hAnsi="Arial"/>
          <w:sz w:val="22"/>
          <w:szCs w:val="22"/>
        </w:rPr>
        <w:t xml:space="preserve">João Gabriel Ramalho Croti | Pablo Kayke Bezerra Fernandes | Samuel Eblak</w:t>
      </w:r>
    </w:p>
    <w:p>
      <w:pPr>
        <w:spacing w:after="200" w:before="40"/>
        <w:jc w:val="center"/>
      </w:pPr>
      <w:r>
        <w:rPr>
          <w:rFonts w:ascii="Arial" w:cs="Arial" w:eastAsia="Arial" w:hAnsi="Arial"/>
          <w:sz w:val="22"/>
          <w:szCs w:val="22"/>
        </w:rPr>
        <w:t xml:space="preserve">Pedro Kimura | Gabriel Ribeiro Alves</w:t>
      </w:r>
    </w:p>
    <w:p>
      <w:pPr>
        <w:pBdr>
          <w:bottom w:val="single" w:color="2C5F8A" w:sz="6" w:space="1"/>
        </w:pBdr>
        <w:spacing w:after="200"/>
      </w:pPr>
      <w:r>
        <w:t xml:space="preserve"/>
      </w:r>
    </w:p>
    <w:p>
      <w:pPr>
        <w:spacing w:after="80" w:before="160"/>
      </w:pPr>
      <w:r>
        <w:rPr>
          <w:rFonts w:ascii="Arial" w:cs="Arial" w:eastAsia="Arial" w:hAnsi="Arial"/>
          <w:b/>
          <w:bCs/>
          <w:color w:val="2C5F8A"/>
          <w:sz w:val="24"/>
          <w:szCs w:val="24"/>
        </w:rPr>
        <w:t xml:space="preserve">RESUMO</w:t>
      </w:r>
    </w:p>
    <w:p>
      <w:pPr>
        <w:spacing w:after="80" w:before="80" w:line="320"/>
        <w:jc w:val="both"/>
      </w:pPr>
      <w:r>
        <w:rPr>
          <w:rFonts w:ascii="Arial" w:cs="Arial" w:eastAsia="Arial" w:hAnsi="Arial"/>
          <w:sz w:val="22"/>
          <w:szCs w:val="22"/>
        </w:rPr>
        <w:t xml:space="preserve">Este estudo analisa os impactos do vício em videogames na saúde mental e suas repercussões no cotidiano dos indivíduos. O Transtorno de Jogo é investigado como uma patologia que compromete o controle sobre o comportamento de jogo, priorizando o ambiente virtual em detrimento de funções vitais. Por meio de uma revisão da literatura de artigos publicados entre 2018 e 2024, a pesquisa identifica que o uso descontrolado resulta em danos severos, como isolamento social, ansiedade e queda no rendimento acadêmico. Conclui-se que a compreensão dos mecanismos psicológicos e da ética no desenvolvimento de software é fundamental para mitigar os danos causados pelo vício digital na vida diária.</w:t>
      </w:r>
    </w:p>
    <w:p>
      <w:pPr>
        <w:spacing w:after="120" w:before="80"/>
      </w:pPr>
      <w:r>
        <w:rPr>
          <w:rFonts w:ascii="Arial" w:cs="Arial" w:eastAsia="Arial" w:hAnsi="Arial"/>
          <w:b/>
          <w:bCs/>
          <w:sz w:val="22"/>
          <w:szCs w:val="22"/>
        </w:rPr>
        <w:t xml:space="preserve">Palavras-chave: </w:t>
      </w:r>
      <w:r>
        <w:rPr>
          <w:rFonts w:ascii="Arial" w:cs="Arial" w:eastAsia="Arial" w:hAnsi="Arial"/>
          <w:sz w:val="22"/>
          <w:szCs w:val="22"/>
        </w:rPr>
        <w:t xml:space="preserve">Transtorno Psicológico. Vício em Games. Vida Cotidiana. Saúde Mental. Consequências Sociais. Caixas de Saque.</w:t>
      </w:r>
    </w:p>
    <w:p>
      <w:pPr>
        <w:spacing w:after="80" w:before="160"/>
      </w:pPr>
      <w:r>
        <w:rPr>
          <w:rFonts w:ascii="Arial" w:cs="Arial" w:eastAsia="Arial" w:hAnsi="Arial"/>
          <w:b/>
          <w:bCs/>
          <w:color w:val="2C5F8A"/>
          <w:sz w:val="24"/>
          <w:szCs w:val="24"/>
        </w:rPr>
        <w:t xml:space="preserve">ABSTRACT</w:t>
      </w:r>
    </w:p>
    <w:p>
      <w:pPr>
        <w:spacing w:after="80" w:before="80" w:line="320"/>
        <w:jc w:val="both"/>
      </w:pPr>
      <w:r>
        <w:rPr>
          <w:rFonts w:ascii="Arial" w:cs="Arial" w:eastAsia="Arial" w:hAnsi="Arial"/>
          <w:i/>
          <w:iCs/>
          <w:sz w:val="22"/>
          <w:szCs w:val="22"/>
        </w:rPr>
        <w:t xml:space="preserve">This study analyzes the impacts of video game addiction on mental health and its repercussions on individuals' daily lives. Gaming Disorder is investigated as a pathology that compromises control over gaming behavior, prioritizing the virtual environment to the detriment of vital functions. Through a literature review of articles published between 2018 and 2024, the research identifies that uncontrolled use results in severe damage, such as social isolation, anxiety, and a decline in academic performance. It concludes that understanding the psychological mechanisms and ethics in software development is fundamental to mitigating the damage caused by digital addiction in daily life.</w:t>
      </w:r>
    </w:p>
    <w:p>
      <w:pPr>
        <w:spacing w:after="200" w:before="80"/>
      </w:pPr>
      <w:r>
        <w:rPr>
          <w:rFonts w:ascii="Arial" w:cs="Arial" w:eastAsia="Arial" w:hAnsi="Arial"/>
          <w:b/>
          <w:bCs/>
          <w:i/>
          <w:iCs/>
          <w:sz w:val="22"/>
          <w:szCs w:val="22"/>
        </w:rPr>
        <w:t xml:space="preserve">Keywords: </w:t>
      </w:r>
      <w:r>
        <w:rPr>
          <w:rFonts w:ascii="Arial" w:cs="Arial" w:eastAsia="Arial" w:hAnsi="Arial"/>
          <w:i/>
          <w:iCs/>
          <w:sz w:val="22"/>
          <w:szCs w:val="22"/>
        </w:rPr>
        <w:t xml:space="preserve">Psychological Disorder. Gaming Addiction. Daily Life. Mental Health. Social Consequences. Loot Boxes.</w:t>
      </w:r>
    </w:p>
    <w:p>
      <w:r>
        <w:br w:type="page"/>
      </w:r>
    </w:p>
    <w:p>
      <w:pPr>
        <w:pStyle w:val="Heading1"/>
      </w:pPr>
      <w:r>
        <w:rPr>
          <w:rFonts w:ascii="Arial" w:cs="Arial" w:eastAsia="Arial" w:hAnsi="Arial"/>
          <w:b/>
          <w:bCs/>
          <w:sz w:val="28"/>
          <w:szCs w:val="28"/>
        </w:rPr>
        <w:t xml:space="preserve">1 INTRODUÇÃO</w:t>
      </w:r>
    </w:p>
    <w:p>
      <w:pPr>
        <w:spacing w:after="100" w:before="100" w:line="360"/>
        <w:ind w:firstLine="720"/>
        <w:jc w:val="both"/>
      </w:pPr>
      <w:r>
        <w:rPr>
          <w:rFonts w:ascii="Arial" w:cs="Arial" w:eastAsia="Arial" w:hAnsi="Arial"/>
          <w:sz w:val="24"/>
          <w:szCs w:val="24"/>
        </w:rPr>
        <w:t xml:space="preserve">A ascensão dos jogos digitais como principal forma de entretenimento global trouxe benefícios tecnológicos, mas também evidenciou riscos à saúde pública. Este estudo investiga a transição do uso recreativo para o patológico, fenômeno que culminou na inclusão do Transtorno de Jogo na CID-11 pela Organização Mundial da Saúde. A relevância desta pesquisa reside na necessidade de compreender como mecânicas de design específicas operam sobre o psiquismo humano, gerando dependência comportamental.</w:t>
      </w:r>
    </w:p>
    <w:p>
      <w:pPr>
        <w:spacing w:after="100" w:before="100" w:line="360"/>
        <w:ind w:firstLine="720"/>
        <w:jc w:val="both"/>
      </w:pPr>
      <w:r>
        <w:rPr>
          <w:rFonts w:ascii="Arial" w:cs="Arial" w:eastAsia="Arial" w:hAnsi="Arial"/>
          <w:sz w:val="24"/>
          <w:szCs w:val="24"/>
        </w:rPr>
        <w:t xml:space="preserve">O problema central foca na erosão da autonomia do jogador diante de algoritmos de engajamento extremo. O objetivo geral é analisar a relação entre o design de retenção e os prejuízos na vida cotidiana, como o isolamento e a queda de produtividade. Hipotetiza-se que a negligência ética no desenvolvimento de software potencializa transtornos psicológicos graves. O trabalho estrutura-se em fundamentação teórica sobre o Gaming Disorder, análise de design predatório e uma discussão sob a ótica da ética kantiana.</w:t>
      </w:r>
    </w:p>
    <w:p>
      <w:pPr>
        <w:pStyle w:val="Heading2"/>
      </w:pPr>
      <w:r>
        <w:rPr>
          <w:rFonts w:ascii="Arial" w:cs="Arial" w:eastAsia="Arial" w:hAnsi="Arial"/>
          <w:b/>
          <w:bCs/>
          <w:sz w:val="24"/>
          <w:szCs w:val="24"/>
        </w:rPr>
        <w:t xml:space="preserve">1.1 Objetivo Geral</w:t>
      </w:r>
    </w:p>
    <w:p>
      <w:pPr>
        <w:spacing w:after="100" w:before="100" w:line="360"/>
        <w:ind w:firstLine="720"/>
        <w:jc w:val="both"/>
      </w:pPr>
      <w:r>
        <w:rPr>
          <w:rFonts w:ascii="Arial" w:cs="Arial" w:eastAsia="Arial" w:hAnsi="Arial"/>
          <w:sz w:val="24"/>
          <w:szCs w:val="24"/>
        </w:rPr>
        <w:t xml:space="preserve">Analisar criticamente os principais desafios éticos no contexto dos jogos digitais contemporâneos, identificando a relação entre mecânicas de retenção de usuários e o surgimento de transtornos psicológicos e prejuízos na vida cotidiana.</w:t>
      </w:r>
    </w:p>
    <w:p>
      <w:pPr>
        <w:pStyle w:val="Heading2"/>
      </w:pPr>
      <w:r>
        <w:rPr>
          <w:rFonts w:ascii="Arial" w:cs="Arial" w:eastAsia="Arial" w:hAnsi="Arial"/>
          <w:b/>
          <w:bCs/>
          <w:sz w:val="24"/>
          <w:szCs w:val="24"/>
        </w:rPr>
        <w:t xml:space="preserve">1.2 Objetivos Específicos</w:t>
      </w:r>
    </w:p>
    <w:p>
      <w:pPr>
        <w:spacing w:after="100" w:before="100" w:line="360"/>
        <w:ind w:firstLine="720"/>
        <w:jc w:val="both"/>
      </w:pPr>
      <w:r>
        <w:rPr>
          <w:rFonts w:ascii="Arial" w:cs="Arial" w:eastAsia="Arial" w:hAnsi="Arial"/>
          <w:sz w:val="24"/>
          <w:szCs w:val="24"/>
        </w:rPr>
        <w:t xml:space="preserve">Investigar conceitos éticos aplicados ao desenvolvimento de algoritmos de engajamento e sistemas de recompensa; explorar dilemas como a manipulação psicológica por meio de reforço intermitente e o impacto das loot boxes; refletir sobre os impactos sociais e culturais das decisões de design, especificamente como a dependência prejudica a rotina, a saúde mental e a produtividade dos indivíduos.</w:t>
      </w:r>
    </w:p>
    <w:p>
      <w:pPr>
        <w:pStyle w:val="Heading2"/>
      </w:pPr>
      <w:r>
        <w:rPr>
          <w:rFonts w:ascii="Arial" w:cs="Arial" w:eastAsia="Arial" w:hAnsi="Arial"/>
          <w:b/>
          <w:bCs/>
          <w:sz w:val="24"/>
          <w:szCs w:val="24"/>
        </w:rPr>
        <w:t xml:space="preserve">1.3 Pergunta de Pesquisa</w:t>
      </w:r>
    </w:p>
    <w:p>
      <w:pPr>
        <w:spacing w:after="100" w:before="100" w:line="360"/>
        <w:ind w:firstLine="720"/>
        <w:jc w:val="both"/>
      </w:pPr>
      <w:r>
        <w:rPr>
          <w:rFonts w:ascii="Arial" w:cs="Arial" w:eastAsia="Arial" w:hAnsi="Arial"/>
          <w:sz w:val="24"/>
          <w:szCs w:val="24"/>
        </w:rPr>
        <w:t xml:space="preserve">Quais são os mecanismos de design mais recorrentes que induzem o vício em jogos digitais, e de que forma essa dependência compromete a saúde psicológica e a funcionalidade cotidiana (acadêmica e social) dos jogadores?</w:t>
      </w:r>
    </w:p>
    <w:p>
      <w:pPr>
        <w:pStyle w:val="Heading2"/>
      </w:pPr>
      <w:r>
        <w:rPr>
          <w:rFonts w:ascii="Arial" w:cs="Arial" w:eastAsia="Arial" w:hAnsi="Arial"/>
          <w:b/>
          <w:bCs/>
          <w:sz w:val="24"/>
          <w:szCs w:val="24"/>
        </w:rPr>
        <w:t xml:space="preserve">1.4 Hipóteses</w:t>
      </w:r>
    </w:p>
    <w:p>
      <w:pPr>
        <w:spacing w:after="100" w:before="100" w:line="360"/>
        <w:ind w:firstLine="720"/>
        <w:jc w:val="both"/>
      </w:pPr>
      <w:r>
        <w:rPr>
          <w:rFonts w:ascii="Arial" w:cs="Arial" w:eastAsia="Arial" w:hAnsi="Arial"/>
          <w:sz w:val="24"/>
          <w:szCs w:val="24"/>
        </w:rPr>
        <w:t xml:space="preserve">H1: A implementação de práticas éticas no design de software, como limites de tempo e transparência em mecânicas de sorte, contribui para um consumo mais sustentável e diminui a incidência de transtornos psicológicos.</w:t>
      </w:r>
    </w:p>
    <w:p>
      <w:pPr>
        <w:spacing w:after="100" w:before="100" w:line="360"/>
        <w:ind w:firstLine="720"/>
        <w:jc w:val="both"/>
      </w:pPr>
      <w:r>
        <w:rPr>
          <w:rFonts w:ascii="Arial" w:cs="Arial" w:eastAsia="Arial" w:hAnsi="Arial"/>
          <w:sz w:val="24"/>
          <w:szCs w:val="24"/>
        </w:rPr>
        <w:t xml:space="preserve">H2: Falhas éticas na priorização de mecanismos de retenção extremos impactam o bem-estar dos usuários e geram danos severos à integridade psicológica e à funcionalidade laboral.</w:t>
      </w:r>
    </w:p>
    <w:p>
      <w:pPr>
        <w:pStyle w:val="Heading1"/>
      </w:pPr>
      <w:r>
        <w:rPr>
          <w:rFonts w:ascii="Arial" w:cs="Arial" w:eastAsia="Arial" w:hAnsi="Arial"/>
          <w:b/>
          <w:bCs/>
          <w:sz w:val="28"/>
          <w:szCs w:val="28"/>
        </w:rPr>
        <w:t xml:space="preserve">2 REFERENCIAL TEÓRICO</w:t>
      </w:r>
    </w:p>
    <w:p>
      <w:pPr>
        <w:spacing w:after="100" w:before="100" w:line="360"/>
        <w:ind w:firstLine="720"/>
        <w:jc w:val="both"/>
      </w:pPr>
      <w:r>
        <w:rPr>
          <w:rFonts w:ascii="Arial" w:cs="Arial" w:eastAsia="Arial" w:hAnsi="Arial"/>
          <w:sz w:val="24"/>
          <w:szCs w:val="24"/>
        </w:rPr>
        <w:t xml:space="preserve">O uso patológico de jogos, classificado pela Organização Mundial da Saúde como Gaming Disorder (WHO, 2018), caracteriza-se por um padrão de comportamento onde o jogo precede as atividades essenciais e as responsabilidades diárias. A investigação bibliográfica indica que mecanismos como recompensas variáveis (KING et al., 2019) e eventos por tempo limitado são os principais indutores de dependência. Esses mecanismos comprometem o cotidiano ao desregular ciclos biológicos (sono/alimentação) e priorizar o ambiente virtual em detrimento de responsabilidades reais e desempenho acadêmico (PONTES et al., 2021).</w:t>
      </w:r>
    </w:p>
    <w:p>
      <w:pPr>
        <w:spacing w:after="80" w:before="80"/>
      </w:pPr>
      <w:r>
        <w:t xml:space="preserve"/>
      </w:r>
    </w:p>
    <w:p>
      <w:pPr>
        <w:spacing w:after="80" w:before="160"/>
        <w:jc w:val="center"/>
      </w:pPr>
      <w:r>
        <w:rPr>
          <w:rFonts w:ascii="Arial" w:cs="Arial" w:eastAsia="Arial" w:hAnsi="Arial"/>
          <w:b/>
          <w:bCs/>
          <w:sz w:val="22"/>
          <w:szCs w:val="22"/>
        </w:rPr>
        <w:t xml:space="preserve">Tabela 1 — Principais Mecanismos de Design Predatório e seus Impactos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Mecanismo de Design</w:t>
            </w:r>
          </w:p>
        </w:tc>
        <w:tc>
          <w:tcPr>
            <w:tcW w:type="dxa" w:w="234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Descrição</w:t>
            </w:r>
          </w:p>
        </w:tc>
        <w:tc>
          <w:tcPr>
            <w:tcW w:type="dxa" w:w="234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Impacto Psicológico</w:t>
            </w:r>
          </w:p>
        </w:tc>
        <w:tc>
          <w:tcPr>
            <w:tcW w:type="dxa" w:w="234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Referência</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Reforço Intermitente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Recompensas imprevisíveis em intervalos variáveis</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Alta dependência comportamental; ativação do sistema dopaminérgico</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King et al. (2019)</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Loot Boxes</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Caixas de recompensa aleatórias compradas com dinheiro real ou moeda virtual</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Associação com jogo patológico e Gaming Disorder</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Király et al. (2022); Zendle (2020)</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Eventos por Tempo Limitado</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Conteúdo disponível apenas por períodos curtos</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Ansiedade, compulsão e privação do sono</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Pontes et al. (2021)</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Sistemas de Progressão</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Níveis, conquistas e rankings contínuos</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Dificuldade em interromper sessões; perda de controle</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Guo Jing (2024)</w:t>
            </w:r>
          </w:p>
        </w:tc>
      </w:tr>
      <w:tr>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Notificações Push</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Alertas contínuos para retornar ao jogo</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Desregulação do cronotipo; interferência no sono</w:t>
            </w:r>
          </w:p>
        </w:tc>
        <w:tc>
          <w:tcPr>
            <w:tcW w:type="dxa" w:w="23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Leping et al. (2020)</w:t>
            </w:r>
          </w:p>
        </w:tc>
      </w:tr>
    </w:tbl>
    <w:p>
      <w:pPr>
        <w:spacing w:after="200" w:before="80"/>
        <w:jc w:val="center"/>
      </w:pPr>
      <w:r>
        <w:rPr>
          <w:rFonts w:ascii="Arial" w:cs="Arial" w:eastAsia="Arial" w:hAnsi="Arial"/>
          <w:i/>
          <w:iCs/>
          <w:color w:val="555555"/>
          <w:sz w:val="20"/>
          <w:szCs w:val="20"/>
        </w:rPr>
        <w:t xml:space="preserve">Fonte: Elaborado pelos autores com base na literatura revisada (2018–2024).</w:t>
      </w:r>
    </w:p>
    <w:p>
      <w:pPr>
        <w:pStyle w:val="Heading2"/>
      </w:pPr>
      <w:r>
        <w:rPr>
          <w:rFonts w:ascii="Arial" w:cs="Arial" w:eastAsia="Arial" w:hAnsi="Arial"/>
          <w:b/>
          <w:bCs/>
          <w:sz w:val="24"/>
          <w:szCs w:val="24"/>
        </w:rPr>
        <w:t xml:space="preserve">2.1 Transtorno de Jogo (Gaming Disorder)</w:t>
      </w:r>
    </w:p>
    <w:p>
      <w:pPr>
        <w:spacing w:after="100" w:before="100" w:line="360"/>
        <w:ind w:firstLine="720"/>
        <w:jc w:val="both"/>
      </w:pPr>
      <w:r>
        <w:rPr>
          <w:rFonts w:ascii="Arial" w:cs="Arial" w:eastAsia="Arial" w:hAnsi="Arial"/>
          <w:sz w:val="24"/>
          <w:szCs w:val="24"/>
        </w:rPr>
        <w:t xml:space="preserve">Em 2018, a Organização Mundial da Saúde (OMS) oficializou o Gaming Disorder na 11ª revisão da Classificação Internacional de Doenças (CID-11), consolidando o reconhecimento de que os mecanismos psicológicos presentes nos jogos digitais são capazes de gerar dependência comportamental comparável a outras formas de adição (GIL; ARNEDO-MORENO, 2020). O transtorno manifesta-se pela perda progressiva do controle sobre a atividade e pela priorização dos jogos em detrimento de outras responsabilidades cotidianas (HELWATUZZAKIAH et al., 2022).</w:t>
      </w:r>
    </w:p>
    <w:p>
      <w:pPr>
        <w:spacing w:after="100" w:before="100" w:line="360"/>
        <w:ind w:firstLine="720"/>
        <w:jc w:val="both"/>
      </w:pPr>
      <w:r>
        <w:rPr>
          <w:rFonts w:ascii="Arial" w:cs="Arial" w:eastAsia="Arial" w:hAnsi="Arial"/>
          <w:sz w:val="24"/>
          <w:szCs w:val="24"/>
        </w:rPr>
        <w:t xml:space="preserve">Paralelamente, o Manual Diagnóstico e Estatístico de Transtornos Mentais (DSM-5) elenca critérios como preocupação constante com jogos, sintomas de abstinência e uso do jogo como fuga de estados emocionais negativos (GUO JING, 2024). Pesquisas recentes indicam que o Gaming Disorder é influenciado por predisposições neurológicas; Guo Jing (2024) identificou que indivíduos com maior vulnerabilidade apresentaram menor potência absoluta de ondas beta em estado de repouso, sugerindo que esse parâmetro pode funcionar como um biomarcador para identificação precoce.</w:t>
      </w:r>
    </w:p>
    <w:p>
      <w:pPr>
        <w:pStyle w:val="Heading3"/>
      </w:pPr>
      <w:r>
        <w:rPr>
          <w:rFonts w:ascii="Arial" w:cs="Arial" w:eastAsia="Arial" w:hAnsi="Arial"/>
          <w:b/>
          <w:bCs/>
          <w:i/>
          <w:iCs/>
          <w:sz w:val="22"/>
          <w:szCs w:val="22"/>
        </w:rPr>
        <w:t xml:space="preserve">2.1.1 Critérios Diagnósticos e Classificação pela OMS</w:t>
      </w:r>
    </w:p>
    <w:p>
      <w:pPr>
        <w:spacing w:after="100" w:before="100" w:line="360"/>
        <w:ind w:firstLine="720"/>
        <w:jc w:val="both"/>
      </w:pPr>
      <w:r>
        <w:rPr>
          <w:rFonts w:ascii="Arial" w:cs="Arial" w:eastAsia="Arial" w:hAnsi="Arial"/>
          <w:sz w:val="24"/>
          <w:szCs w:val="24"/>
        </w:rPr>
        <w:t xml:space="preserve">Em 2018, a Organização Mundial da Saúde (OMS) oficializou o Gaming Disorder na 11ª revisão da Classificação Internacional de Doenças (CID-11), consolidando décadas de debate acadêmico sobre os limites entre o uso recreativo e o uso patológico de jogos digitais. Essa classificação representou o reconhecimento institucional de que os mecanismos psicológicos presentes nos jogos digitais são capazes de gerar dependência comportamental comparável a outras formas de adição já catalogadas (GIL; ARNEDO-MORENO, 2020).</w:t>
      </w:r>
    </w:p>
    <w:p>
      <w:pPr>
        <w:spacing w:after="100" w:before="100" w:line="360"/>
        <w:ind w:firstLine="720"/>
        <w:jc w:val="both"/>
      </w:pPr>
      <w:r>
        <w:rPr>
          <w:rFonts w:ascii="Arial" w:cs="Arial" w:eastAsia="Arial" w:hAnsi="Arial"/>
          <w:sz w:val="24"/>
          <w:szCs w:val="24"/>
        </w:rPr>
        <w:t xml:space="preserve">O transtorno é caracterizado por um padrão persistente de comportamento de jogo que se manifesta pela perda progressiva do controle sobre a atividade, pela priorização dos jogos em detrimento de outras responsabilidades cotidianas, e pela continuidade do comportamento mesmo diante de consequências negativas evidentes. Para que o diagnóstico seja estabelecido, esse padrão deve comprometer significativamente as esferas pessoal, social, educacional ou profissional do indivíduo, e deve estar presente por um período mínimo de doze meses (HELWATUZZAKIAH et al., 2022).</w:t>
      </w:r>
    </w:p>
    <w:p>
      <w:pPr>
        <w:spacing w:after="100" w:before="100" w:line="360"/>
        <w:ind w:firstLine="720"/>
        <w:jc w:val="both"/>
      </w:pPr>
      <w:r>
        <w:rPr>
          <w:rFonts w:ascii="Arial" w:cs="Arial" w:eastAsia="Arial" w:hAnsi="Arial"/>
          <w:sz w:val="24"/>
          <w:szCs w:val="24"/>
        </w:rPr>
        <w:t xml:space="preserve">Paralelamente, o Manual Diagnóstico e Estatístico de Transtornos Mentais em sua quinta edição (DSM-5) introduziu o Internet Gaming Disorder (IGD) como condição que requer mais estudos, elencando nove critérios diagnósticos, entre eles: preocupação constante com jogos, sintomas de abstinência, tolerância crescente, perda de interesse em outras atividades e uso do jogo como fuga de estados emocionais negativos. A presença de cinco ou mais desses critérios em doze meses indica possibilidade de diagnóstico clínico (GUO JING, 2024).</w:t>
      </w:r>
    </w:p>
    <w:p>
      <w:pPr>
        <w:spacing w:after="100" w:before="100" w:line="360"/>
        <w:ind w:firstLine="720"/>
        <w:jc w:val="both"/>
      </w:pPr>
      <w:r>
        <w:rPr>
          <w:rFonts w:ascii="Arial" w:cs="Arial" w:eastAsia="Arial" w:hAnsi="Arial"/>
          <w:sz w:val="24"/>
          <w:szCs w:val="24"/>
        </w:rPr>
        <w:t xml:space="preserve">Do ponto de vista comportamental, Costales et al. (2022) identificaram, em uma amostra de 513 universitários, que o aumento do tempo dedicado aos jogos móveis estava negativamente associado à qualidade das interações sociais. O isolamento foi o fator emocional mais prevalente, afetando 72,1% dos respondentes, corroborando empiricamente os critérios diagnósticos da CID-11 e do DSM-5.</w:t>
      </w:r>
    </w:p>
    <w:p>
      <w:pPr>
        <w:pStyle w:val="Heading3"/>
      </w:pPr>
      <w:r>
        <w:rPr>
          <w:rFonts w:ascii="Arial" w:cs="Arial" w:eastAsia="Arial" w:hAnsi="Arial"/>
          <w:b/>
          <w:bCs/>
          <w:i/>
          <w:iCs/>
          <w:sz w:val="22"/>
          <w:szCs w:val="22"/>
        </w:rPr>
        <w:t xml:space="preserve">2.1.1.1 Vulnerabilidades Neurobiológicas e Fatores de Risco Individual</w:t>
      </w:r>
    </w:p>
    <w:p>
      <w:pPr>
        <w:spacing w:after="100" w:before="100" w:line="360"/>
        <w:ind w:firstLine="720"/>
        <w:jc w:val="both"/>
      </w:pPr>
      <w:r>
        <w:rPr>
          <w:rFonts w:ascii="Arial" w:cs="Arial" w:eastAsia="Arial" w:hAnsi="Arial"/>
          <w:sz w:val="24"/>
          <w:szCs w:val="24"/>
        </w:rPr>
        <w:t xml:space="preserve">Embora os critérios diagnósticos estabelecidos pela OMS e pelo DSM-5 descrevam o Gaming Disorder a partir de manifestações comportamentais observáveis, pesquisas recentes têm buscado compreender por que determinados indivíduos são mais vulneráveis ao desenvolvimento do transtorno do que outros. Guo Jing (2024) investigou diferenças em atenção, resposta emocional e atividade cerebral entre grupos com alta e baixa vulnerabilidade ao vício em jogos, utilizando eletroencefalograma (EEG) durante sessões de realidade virtual.</w:t>
      </w:r>
    </w:p>
    <w:p>
      <w:pPr>
        <w:spacing w:after="100" w:before="100" w:line="360"/>
        <w:ind w:firstLine="720"/>
        <w:jc w:val="both"/>
      </w:pPr>
      <w:r>
        <w:rPr>
          <w:rFonts w:ascii="Arial" w:cs="Arial" w:eastAsia="Arial" w:hAnsi="Arial"/>
          <w:sz w:val="24"/>
          <w:szCs w:val="24"/>
        </w:rPr>
        <w:t xml:space="preserve">Os resultados indicaram que indivíduos com maior vulnerabilidade apresentaram menor potência absoluta de ondas beta em estado de repouso, sugerindo que esse parâmetro neurobiológico pode funcionar como um biomarcador para identificação precoce do transtorno. A identificação dessas vulnerabilidades abre perspectivas relevantes para o diagnóstico precoce e para o desenvolvimento de intervenções clínicas mais direcionadas (GUO JING, 2024).</w:t>
      </w:r>
    </w:p>
    <w:p>
      <w:pPr>
        <w:pStyle w:val="Heading2"/>
      </w:pPr>
      <w:r>
        <w:rPr>
          <w:rFonts w:ascii="Arial" w:cs="Arial" w:eastAsia="Arial" w:hAnsi="Arial"/>
          <w:b/>
          <w:bCs/>
          <w:sz w:val="24"/>
          <w:szCs w:val="24"/>
        </w:rPr>
        <w:t xml:space="preserve">2.2 Impactos na Saúde Mental e Qualidade do Sono</w:t>
      </w:r>
    </w:p>
    <w:p>
      <w:pPr>
        <w:spacing w:after="100" w:before="100" w:line="360"/>
        <w:ind w:firstLine="720"/>
        <w:jc w:val="both"/>
      </w:pPr>
      <w:r>
        <w:rPr>
          <w:rFonts w:ascii="Arial" w:cs="Arial" w:eastAsia="Arial" w:hAnsi="Arial"/>
          <w:sz w:val="24"/>
          <w:szCs w:val="24"/>
        </w:rPr>
        <w:t xml:space="preserve">A relação entre o vício e a saúde física revela danos severos à integridade biológica do usuário. Segundo Leping et al. (2020), a gravidade do vício em jogos eletrônicos está positivamente correlacionada com a depressão, ansiedade e sintomas de estresse. Sobre os ciclos de repouso, os autores afirmam que o uso problemático de videogame está significativamente associado a uma pior qualidade do sono, pesadelos e uma preferência pelo cronotipo vespertino. Meta-análises indicam que indivíduos com uso problemático de jogos apresentam latência de sono prolongada e eficiência de sono reduzida (LEPING et al., 2020).</w:t>
      </w:r>
    </w:p>
    <w:p>
      <w:pPr>
        <w:spacing w:after="100" w:before="100" w:line="360"/>
        <w:ind w:firstLine="720"/>
        <w:jc w:val="both"/>
      </w:pPr>
      <w:r>
        <w:rPr>
          <w:rFonts w:ascii="Arial" w:cs="Arial" w:eastAsia="Arial" w:hAnsi="Arial"/>
          <w:sz w:val="24"/>
          <w:szCs w:val="24"/>
        </w:rPr>
        <w:t xml:space="preserve">Essa dependência altera a rotina e a produtividade dos indivíduos. Leping et al. (2020) ressalta ainda que a preferência pela vespertinidade em jogadores problemáticos sugere um desalinhamento circadiano que agrava os prejuízos na saúde psicológica.</w:t>
      </w:r>
    </w:p>
    <w:p>
      <w:pPr>
        <w:pStyle w:val="Heading2"/>
      </w:pPr>
      <w:r>
        <w:rPr>
          <w:rFonts w:ascii="Arial" w:cs="Arial" w:eastAsia="Arial" w:hAnsi="Arial"/>
          <w:b/>
          <w:bCs/>
          <w:sz w:val="24"/>
          <w:szCs w:val="24"/>
        </w:rPr>
        <w:t xml:space="preserve">2.3 Perspectiva Ética e Design Predatório</w:t>
      </w:r>
    </w:p>
    <w:p>
      <w:pPr>
        <w:spacing w:after="100" w:before="100" w:line="360"/>
        <w:ind w:firstLine="720"/>
        <w:jc w:val="both"/>
      </w:pPr>
      <w:r>
        <w:rPr>
          <w:rFonts w:ascii="Arial" w:cs="Arial" w:eastAsia="Arial" w:hAnsi="Arial"/>
          <w:sz w:val="24"/>
          <w:szCs w:val="24"/>
        </w:rPr>
        <w:t xml:space="preserve">A discussão sobre o vício em jogos digitais alcança questões filosóficas fundamentais sobre autonomia e responsabilidade moral. Os mecanismos de design, como reforço intermitente e recompensas variáveis, operam sobre as camadas impulsivas do comportamento, contornando a capacidade reflexiva do sujeito (GIL; ARNEDO-MORENO, 2020).</w:t>
      </w:r>
    </w:p>
    <w:p>
      <w:pPr>
        <w:spacing w:after="100" w:before="100" w:line="360"/>
        <w:ind w:firstLine="720"/>
        <w:jc w:val="both"/>
      </w:pPr>
      <w:r>
        <w:rPr>
          <w:rFonts w:ascii="Arial" w:cs="Arial" w:eastAsia="Arial" w:hAnsi="Arial"/>
          <w:sz w:val="24"/>
          <w:szCs w:val="24"/>
        </w:rPr>
        <w:t xml:space="preserve">Para Kant (1785), todo ser racional deve ser tratado como fim em si mesmo, jamais como meio. Quando desenvolvedoras de jogos estruturam seus produtos para maximizar o tempo de engajamento em detrimento do bem-estar, instrumentalizam o jogador em favor do lucro. Sob essa ótica, o design predatório não apenas explora fragilidades psicológicas, mas viola o princípio da autonomia da vontade (GIL; ARNEDO-MORENO, 2020).</w:t>
      </w:r>
    </w:p>
    <w:p>
      <w:pPr>
        <w:pStyle w:val="Heading1"/>
      </w:pPr>
      <w:r>
        <w:rPr>
          <w:rFonts w:ascii="Arial" w:cs="Arial" w:eastAsia="Arial" w:hAnsi="Arial"/>
          <w:b/>
          <w:bCs/>
          <w:sz w:val="28"/>
          <w:szCs w:val="28"/>
        </w:rPr>
        <w:t xml:space="preserve">3 METODOLOGIA</w:t>
      </w:r>
    </w:p>
    <w:p>
      <w:pPr>
        <w:spacing w:after="100" w:before="100" w:line="360"/>
        <w:ind w:firstLine="720"/>
        <w:jc w:val="both"/>
      </w:pPr>
      <w:r>
        <w:rPr>
          <w:rFonts w:ascii="Arial" w:cs="Arial" w:eastAsia="Arial" w:hAnsi="Arial"/>
          <w:sz w:val="24"/>
          <w:szCs w:val="24"/>
        </w:rPr>
        <w:t xml:space="preserve">Este estudo adota uma abordagem qualitativa com revisão bibliográfica sistemática. As bases científicas consultadas incluem ACM Digital Library, IEEE Xplore, ScienceDirect, SpringerLink e PLOS ONE. Os critérios de inclusão adotados foram: artigos revisados por pares; publicações entre 2018 e 2024; temática compatível com ética em jogos digitais, saúde mental e design de software.</w:t>
      </w:r>
    </w:p>
    <w:p>
      <w:pPr>
        <w:spacing w:after="100" w:before="100" w:line="360"/>
        <w:ind w:firstLine="720"/>
        <w:jc w:val="both"/>
      </w:pPr>
      <w:r>
        <w:rPr>
          <w:rFonts w:ascii="Arial" w:cs="Arial" w:eastAsia="Arial" w:hAnsi="Arial"/>
          <w:sz w:val="24"/>
          <w:szCs w:val="24"/>
        </w:rPr>
        <w:t xml:space="preserve">Foram analisadas obras que abordam a convergência entre jogos de azar e jogos eletrônicos, a mensuração do Transtorno de Jogo pela Internet segundo o DSM-5, práticas de design predatório e os impactos neurobiológicos do uso excessivo de videogames. A seleção dos artigos priorizou estudos com amostras representativas e metodologias rigorosas, excluindo publicações sem revisão por pares e trabalhos anteriores a 2018.</w:t>
      </w:r>
    </w:p>
    <w:p>
      <w:pPr>
        <w:pStyle w:val="Heading1"/>
      </w:pPr>
      <w:r>
        <w:rPr>
          <w:rFonts w:ascii="Arial" w:cs="Arial" w:eastAsia="Arial" w:hAnsi="Arial"/>
          <w:b/>
          <w:bCs/>
          <w:sz w:val="28"/>
          <w:szCs w:val="28"/>
        </w:rPr>
        <w:t xml:space="preserve">4 RESULTADOS E DISCUSSÃO</w:t>
      </w:r>
    </w:p>
    <w:p>
      <w:pPr>
        <w:spacing w:after="100" w:before="100" w:line="360"/>
        <w:ind w:firstLine="720"/>
        <w:jc w:val="both"/>
      </w:pPr>
      <w:r>
        <w:rPr>
          <w:rFonts w:ascii="Arial" w:cs="Arial" w:eastAsia="Arial" w:hAnsi="Arial"/>
          <w:sz w:val="24"/>
          <w:szCs w:val="24"/>
        </w:rPr>
        <w:t xml:space="preserve">A investigação bibliográfica indica que mecanismos como recompensas variáveis (KING et al., 2019) e eventos por tempo limitado são os principais indutores de dependência em jogos digitais. Esses mecanismos comprometem o cotidiano ao desregular ciclos biológicos (sono/alimentação) e priorizar o ambiente virtual em detrimento de responsabilidades reais e desempenho acadêmico (PONTES et al., 2021).</w:t>
      </w:r>
    </w:p>
    <w:p>
      <w:pPr>
        <w:spacing w:after="100" w:before="100" w:line="360"/>
        <w:ind w:firstLine="720"/>
        <w:jc w:val="both"/>
      </w:pPr>
      <w:r>
        <w:rPr>
          <w:rFonts w:ascii="Arial" w:cs="Arial" w:eastAsia="Arial" w:hAnsi="Arial"/>
          <w:sz w:val="24"/>
          <w:szCs w:val="24"/>
        </w:rPr>
        <w:t xml:space="preserve">A análise de meta-regressão revelou que a associação entre o uso problemático de videogame e a qualidade do sono foi significativa em todas as faixas etárias avaliadas (LEPING et al., 2020). A relação entre o uso problemático de videogames e pesadelos sugere que a excitação emocional e cognitiva antes de dormir pode interferir na regulação do sono.</w:t>
      </w:r>
    </w:p>
    <w:p>
      <w:pPr>
        <w:spacing w:after="100" w:before="100" w:line="360"/>
        <w:ind w:firstLine="720"/>
        <w:jc w:val="both"/>
      </w:pPr>
      <w:r>
        <w:rPr>
          <w:rFonts w:ascii="Arial" w:cs="Arial" w:eastAsia="Arial" w:hAnsi="Arial"/>
          <w:sz w:val="24"/>
          <w:szCs w:val="24"/>
        </w:rPr>
        <w:t xml:space="preserve">No que tange às práticas de design predatório, os dados revelam que falhas éticas impactam diretamente a integridade psicológica do usuário. Király, Potenza e Demetrovics (2022) identificaram que elementos como loot boxes estão significativamente associados ao jogo problemático, levantando preocupações éticas e de proteção ao consumidor. Zendle (2020) corrobora esses achados ao demonstrar que diversas práticas semelhantes ao jogo de azar nos videogames estão vinculadas tanto ao jogo patológico quanto ao gaming disorder, sugerindo um ecossistema convergente de risco.</w:t>
      </w:r>
    </w:p>
    <w:p>
      <w:pPr>
        <w:spacing w:after="100" w:before="100" w:line="360"/>
        <w:ind w:firstLine="720"/>
        <w:jc w:val="both"/>
      </w:pPr>
      <w:r>
        <w:rPr>
          <w:rFonts w:ascii="Arial" w:cs="Arial" w:eastAsia="Arial" w:hAnsi="Arial"/>
          <w:sz w:val="24"/>
          <w:szCs w:val="24"/>
        </w:rPr>
        <w:t xml:space="preserve">Do ponto de vista neurobiológico, Guo Jing (2024) demonstrou que indivíduos com alta vulnerabilidade ao vício apresentam padrões distintos de atividade cerebral, com menor potência absoluta de ondas beta, o que pode constituir um biomarcador para diagnóstico precoce. Esses achados, combinados com os dados comportamentais de Costales et al. (2022), reforçam a necessidade de abordagens multidimensionais para compreender e tratar o Gaming Disorder.</w:t>
      </w:r>
    </w:p>
    <w:p>
      <w:pPr>
        <w:pStyle w:val="Heading1"/>
      </w:pPr>
      <w:r>
        <w:rPr>
          <w:rFonts w:ascii="Arial" w:cs="Arial" w:eastAsia="Arial" w:hAnsi="Arial"/>
          <w:b/>
          <w:bCs/>
          <w:sz w:val="28"/>
          <w:szCs w:val="28"/>
        </w:rPr>
        <w:t xml:space="preserve">5 PERSPECTIVA FILOSÓFICA SOBRE O VÍCIO EM JOGOS DIGITAIS</w:t>
      </w:r>
    </w:p>
    <w:p>
      <w:pPr>
        <w:spacing w:after="100" w:before="100" w:line="360"/>
        <w:ind w:firstLine="720"/>
        <w:jc w:val="both"/>
      </w:pPr>
      <w:r>
        <w:rPr>
          <w:rFonts w:ascii="Arial" w:cs="Arial" w:eastAsia="Arial" w:hAnsi="Arial"/>
          <w:sz w:val="24"/>
          <w:szCs w:val="24"/>
        </w:rPr>
        <w:t xml:space="preserve">A discussão sobre o vício em jogos digitais transcende o campo clínico e alcança questões filosóficas fundamentais sobre autonomia, liberdade e responsabilidade moral. Para Kant (1781), a razão é o fundamento da ação humana livre: agir moralmente significa agir segundo princípios racionais universalizáveis, e não por impulso ou inclinação. Os mecanismos de design presentes nos jogos digitais, como reforço intermitente, recompensas variáveis e eventos por tempo limitado, operam justamente sobre as camadas impulsivas do comportamento, contornando a capacidade reflexiva do sujeito (GIL; ARNEDO-MORENO, 2020).</w:t>
      </w:r>
    </w:p>
    <w:p>
      <w:pPr>
        <w:spacing w:after="100" w:before="100" w:line="360"/>
        <w:ind w:firstLine="720"/>
        <w:jc w:val="both"/>
      </w:pPr>
      <w:r>
        <w:rPr>
          <w:rFonts w:ascii="Arial" w:cs="Arial" w:eastAsia="Arial" w:hAnsi="Arial"/>
          <w:sz w:val="24"/>
          <w:szCs w:val="24"/>
        </w:rPr>
        <w:t xml:space="preserve">Kant (1785), na Fundamentação da Metafísica dos Costumes, estabelece que todo ser racional deve ser tratado como fim em si mesmo, jamais como meio. Quando desenvolvedoras de jogos estruturam seus produtos para maximizar o tempo de engajamento em detrimento do bem-estar do usuário, instrumentalizam o jogador em favor do lucro, violando esse imperativo categórico. Essa perspectiva é reforçada empiricamente por Guo Jing (2024), que identificou que indivíduos com alta vulnerabilidade ao vício demonstram dificuldade em interromper a sessão de jogo, evidenciando uma erosão progressiva da autonomia.</w:t>
      </w:r>
    </w:p>
    <w:p>
      <w:pPr>
        <w:spacing w:after="100" w:before="100" w:line="360"/>
        <w:ind w:firstLine="720"/>
        <w:jc w:val="both"/>
      </w:pPr>
      <w:r>
        <w:rPr>
          <w:rFonts w:ascii="Arial" w:cs="Arial" w:eastAsia="Arial" w:hAnsi="Arial"/>
          <w:sz w:val="24"/>
          <w:szCs w:val="24"/>
        </w:rPr>
        <w:t xml:space="preserve">Do ponto de vista dos impactos concretos, Helwatuzzakiah et al. (2022) e Costales et al. (2022) demonstraram que o uso excessivo de jogos compromete obrigações cotidianas e enfraquece vínculos sociais, consequências que, filosoficamente, representam uma subordinação da vida racional e relacional à lógica do entretenimento compulsivo. Esse cenário reforça a necessidade de uma ética aplicada ao desenvolvimento de software que reconheça a responsabilidade moral dos criadores perante os usuários. A abordagem do Value-Sensitive Design (VSD), proposta por Gil e Arnedo-Moreno (2020), aproxima filosofia e engenharia ao exigir que valores como dignidade, bem-estar e autonomia sejam incorporados sistematicamente ao processo de design.</w:t>
      </w:r>
    </w:p>
    <w:p>
      <w:pPr>
        <w:pStyle w:val="Heading1"/>
      </w:pPr>
      <w:r>
        <w:rPr>
          <w:rFonts w:ascii="Arial" w:cs="Arial" w:eastAsia="Arial" w:hAnsi="Arial"/>
          <w:b/>
          <w:bCs/>
          <w:sz w:val="28"/>
          <w:szCs w:val="28"/>
        </w:rPr>
        <w:t xml:space="preserve">6 CONCLUSÃO</w:t>
      </w:r>
    </w:p>
    <w:p>
      <w:pPr>
        <w:spacing w:after="100" w:before="100" w:line="360"/>
        <w:ind w:firstLine="720"/>
        <w:jc w:val="both"/>
      </w:pPr>
      <w:r>
        <w:rPr>
          <w:rFonts w:ascii="Arial" w:cs="Arial" w:eastAsia="Arial" w:hAnsi="Arial"/>
          <w:sz w:val="24"/>
          <w:szCs w:val="24"/>
        </w:rPr>
        <w:t xml:space="preserve">O presente estudo demonstrou que o vício em jogos digitais constitui um fenômeno complexo com repercussões clínicas, sociais e filosóficas significativas. A análise da literatura evidenciou que mecanismos de design como recompensas variáveis e eventos por tempo limitado são os principais indutores de dependência, comprometendo a rotina, o sono e o desempenho acadêmico dos jogadores.</w:t>
      </w:r>
    </w:p>
    <w:p>
      <w:pPr>
        <w:spacing w:after="100" w:before="100" w:line="360"/>
        <w:ind w:firstLine="720"/>
        <w:jc w:val="both"/>
      </w:pPr>
      <w:r>
        <w:rPr>
          <w:rFonts w:ascii="Arial" w:cs="Arial" w:eastAsia="Arial" w:hAnsi="Arial"/>
          <w:sz w:val="24"/>
          <w:szCs w:val="24"/>
        </w:rPr>
        <w:t xml:space="preserve">A implementação de práticas éticas no design de software contribui para um consumo mais sustentável e diminui a incidência de transtornos psicológicos. Os dados reforçam a necessidade de intervenções que considerem a higiene do sono e o cronotipo dos jogadores para mitigar as consequências negativas do transtorno (LEPING et al., 2020). Falhas éticas na priorização de mecanismos de retenção extremos geram danos severos à integridade psicológica e à funcionalidade cotidiana dos usuários.</w:t>
      </w:r>
    </w:p>
    <w:p>
      <w:pPr>
        <w:spacing w:after="100" w:before="100" w:line="360"/>
        <w:ind w:firstLine="720"/>
        <w:jc w:val="both"/>
      </w:pPr>
      <w:r>
        <w:rPr>
          <w:rFonts w:ascii="Arial" w:cs="Arial" w:eastAsia="Arial" w:hAnsi="Arial"/>
          <w:sz w:val="24"/>
          <w:szCs w:val="24"/>
        </w:rPr>
        <w:t xml:space="preserve">Conclui-se que a compreensão dos mecanismos psicológicos envolvidos, aliada à adoção de princípios éticos no desenvolvimento de software, é fundamental para mitigar os danos causados pelo vício digital. Estudos futuros devem aprofundar a investigação sobre biomarcadores neurobiológicos do Gaming Disorder e desenvolver ferramentas diagnósticas mais precisas, contribuindo para políticas públicas e regulações mais eficazes na área de jogos digitais.</w:t>
      </w:r>
    </w:p>
    <w:p>
      <w:r>
        <w:br w:type="page"/>
      </w:r>
    </w:p>
    <w:p>
      <w:pPr>
        <w:pStyle w:val="Heading1"/>
      </w:pPr>
      <w:r>
        <w:rPr>
          <w:rFonts w:ascii="Arial" w:cs="Arial" w:eastAsia="Arial" w:hAnsi="Arial"/>
          <w:b/>
          <w:bCs/>
          <w:sz w:val="28"/>
          <w:szCs w:val="28"/>
        </w:rPr>
        <w:t xml:space="preserve">REFERÊNCIAS</w:t>
      </w:r>
    </w:p>
    <w:p>
      <w:pPr>
        <w:spacing w:after="80" w:before="80" w:line="320"/>
        <w:ind w:left="0" w:hanging="0"/>
        <w:jc w:val="both"/>
      </w:pPr>
      <w:r>
        <w:rPr>
          <w:rFonts w:ascii="Arial" w:cs="Arial" w:eastAsia="Arial" w:hAnsi="Arial"/>
          <w:sz w:val="22"/>
          <w:szCs w:val="22"/>
        </w:rPr>
        <w:t xml:space="preserve">COSTALES, Jefferson A. et al. Kaiser-Meyer-Olkin Factor Analysis: A Quantitative Approach on Mobile Gaming Addiction using Random Forest Classifier. In: INTERNATIONAL CONFERENCE ON INFORMATION SYSTEM AND DATA MINING (ICISDM 2022), 6., 2022, Silicon Valley. Proceedings... New York: ACM, 2022. p. 18-24. Disponível em: https://doi.org/10.1145/3546157.3546161. Acesso em: 01 abr. 2026.</w:t>
      </w:r>
    </w:p>
    <w:p>
      <w:pPr>
        <w:spacing w:after="80" w:before="80" w:line="320"/>
        <w:ind w:left="0" w:hanging="0"/>
        <w:jc w:val="both"/>
      </w:pPr>
      <w:r>
        <w:rPr>
          <w:rFonts w:ascii="Arial" w:cs="Arial" w:eastAsia="Arial" w:hAnsi="Arial"/>
          <w:sz w:val="22"/>
          <w:szCs w:val="22"/>
        </w:rPr>
        <w:t xml:space="preserve">GIL, Rosa Maria; ARNEDO-MORENO, Joan. Designing an activity to help reflect on "Healthy Engagement vs Video Game Addiction". In: EIGHTH INTERNATIONAL CONFERENCE ON TECHNOLOGICAL ECOSYSTEMS FOR ENHANCING MULTICULTURALITY (TEEM'20), 8., 2020, Salamanca. Anais... New York: ACM, 2020. p. 682-687. Disponível em: https://doi.org/10.1145/3434780.3436607. Acesso em: 01 abr. 2026.</w:t>
      </w:r>
    </w:p>
    <w:p>
      <w:pPr>
        <w:spacing w:after="80" w:before="80" w:line="320"/>
        <w:ind w:left="0" w:hanging="0"/>
        <w:jc w:val="both"/>
      </w:pPr>
      <w:r>
        <w:rPr>
          <w:rFonts w:ascii="Arial" w:cs="Arial" w:eastAsia="Arial" w:hAnsi="Arial"/>
          <w:sz w:val="22"/>
          <w:szCs w:val="22"/>
        </w:rPr>
        <w:t xml:space="preserve">GUO, Jing. Exploring the Difference of Attention, Emotion, and Neurobiological Domains as Underlying Vulnerabilities For Game Addiction. In: CHI CONFERENCE ON HUMAN FACTORS IN COMPUTING SYSTEMS (CHI EA '24), 2024, Honolulu. Extended Abstracts... New York: ACM, 2024. 7 p. Disponível em: https://doi.org/10.1145/3613905.3647959. Acesso em: 01 abr. 2026.</w:t>
      </w:r>
    </w:p>
    <w:p>
      <w:pPr>
        <w:spacing w:after="80" w:before="80" w:line="320"/>
        <w:ind w:left="0" w:hanging="0"/>
        <w:jc w:val="both"/>
      </w:pPr>
      <w:r>
        <w:rPr>
          <w:rFonts w:ascii="Arial" w:cs="Arial" w:eastAsia="Arial" w:hAnsi="Arial"/>
          <w:sz w:val="22"/>
          <w:szCs w:val="22"/>
        </w:rPr>
        <w:t xml:space="preserve">HELWATUZZAKIAH, Helwatuzzakiah; ZUBAIDILLAH, Muh. Haris; RAMADHANI, Dony Ahmad. The Effect of Online Game Addiction on Punctuality in Performing Prayers. In: INTERNATIONAL CONFERENCE ON LEARNING INNOVATION AND QUALITY EDUCATION (ICLIQE'21), 5., 2021, Surakarta. Proceedings... New York: ACM, 2022. 7 p. Disponível em: https://doi.org/10.1145/3516875.3516915. Acesso em: 01 abr. 2026.</w:t>
      </w:r>
    </w:p>
    <w:p>
      <w:pPr>
        <w:spacing w:after="80" w:before="80" w:line="320"/>
        <w:ind w:left="0" w:hanging="0"/>
        <w:jc w:val="both"/>
      </w:pPr>
      <w:r>
        <w:rPr>
          <w:rFonts w:ascii="Arial" w:cs="Arial" w:eastAsia="Arial" w:hAnsi="Arial"/>
          <w:sz w:val="22"/>
          <w:szCs w:val="22"/>
        </w:rPr>
        <w:t xml:space="preserve">KANT, Immanuel. Critica da Razao Pura. Traducao de Manuela Pinto dos Santos e Alexandre Fradique Morujao. Lisboa: Fundacao Calouste Gulbenkian, 1781/1997.</w:t>
      </w:r>
    </w:p>
    <w:p>
      <w:pPr>
        <w:spacing w:after="80" w:before="80" w:line="320"/>
        <w:ind w:left="0" w:hanging="0"/>
        <w:jc w:val="both"/>
      </w:pPr>
      <w:r>
        <w:rPr>
          <w:rFonts w:ascii="Arial" w:cs="Arial" w:eastAsia="Arial" w:hAnsi="Arial"/>
          <w:sz w:val="22"/>
          <w:szCs w:val="22"/>
        </w:rPr>
        <w:t xml:space="preserve">KANT, Immanuel. Fundamentacao da Metafisica dos Costumes. Traducao de Paulo Quintela. Lisboa: Edicoes 70, 1785/2007.</w:t>
      </w:r>
    </w:p>
    <w:p>
      <w:pPr>
        <w:spacing w:after="80" w:before="80" w:line="320"/>
        <w:ind w:left="0" w:hanging="0"/>
        <w:jc w:val="both"/>
      </w:pPr>
      <w:r>
        <w:rPr>
          <w:rFonts w:ascii="Arial" w:cs="Arial" w:eastAsia="Arial" w:hAnsi="Arial"/>
          <w:sz w:val="22"/>
          <w:szCs w:val="22"/>
        </w:rPr>
        <w:t xml:space="preserve">KIRALY, Orsolya; POTENZA, Marc N.; DEMETROVICS, Zsolt. Gaming disorder: current research directions. Current Opinion in Behavioral Sciences, v. 47, p. 101204, 2022. Disponivel em: https://doi.org/10.1016/j.cobeha.2022.101204. Acesso em: 01 abr. 2026.</w:t>
      </w:r>
    </w:p>
    <w:p>
      <w:pPr>
        <w:spacing w:after="80" w:before="80" w:line="320"/>
        <w:ind w:left="0" w:hanging="0"/>
        <w:jc w:val="both"/>
      </w:pPr>
      <w:r>
        <w:rPr>
          <w:rFonts w:ascii="Arial" w:cs="Arial" w:eastAsia="Arial" w:hAnsi="Arial"/>
          <w:sz w:val="22"/>
          <w:szCs w:val="22"/>
        </w:rPr>
        <w:t xml:space="preserve">LEPING, et al. Problematic video game use and sleep quality: a systematic review and meta-analysis. Sleep Medicine Reviews, 2020.</w:t>
      </w:r>
    </w:p>
    <w:p>
      <w:pPr>
        <w:spacing w:after="80" w:before="80" w:line="320"/>
        <w:ind w:left="0" w:hanging="0"/>
        <w:jc w:val="both"/>
      </w:pPr>
      <w:r>
        <w:rPr>
          <w:rFonts w:ascii="Arial" w:cs="Arial" w:eastAsia="Arial" w:hAnsi="Arial"/>
          <w:sz w:val="22"/>
          <w:szCs w:val="22"/>
        </w:rPr>
        <w:t xml:space="preserve">ZENDLE, David. Beyond loot boxes: a variety of gambling-like practices in video games are linked to both problem gambling and disordered gaming. PeerJ, v. 8, p. e9466, 2020. Disponivel em: https://doi.org/10.7717/peerj.9466. Acesso em: 01 abr. 2026.</w:t>
      </w:r>
    </w:p>
    <w:p>
      <w:r>
        <w:br w:type="page"/>
      </w:r>
    </w:p>
    <w:p>
      <w:pPr>
        <w:pStyle w:val="Heading1"/>
      </w:pPr>
      <w:r>
        <w:rPr>
          <w:rFonts w:ascii="Arial" w:cs="Arial" w:eastAsia="Arial" w:hAnsi="Arial"/>
          <w:b/>
          <w:bCs/>
          <w:sz w:val="28"/>
          <w:szCs w:val="28"/>
        </w:rPr>
        <w:t xml:space="preserve">APÊNDICE A — CRITÉRIOS DIAGNÓSTICOS DO DSM-5 PARA INTERNET GAMING DISORDER (IGD)</w:t>
      </w:r>
    </w:p>
    <w:p>
      <w:pPr>
        <w:spacing w:after="100" w:before="100" w:line="360"/>
        <w:ind w:firstLine="720"/>
        <w:jc w:val="both"/>
      </w:pPr>
      <w:r>
        <w:rPr>
          <w:rFonts w:ascii="Arial" w:cs="Arial" w:eastAsia="Arial" w:hAnsi="Arial"/>
          <w:sz w:val="24"/>
          <w:szCs w:val="24"/>
        </w:rPr>
        <w:t xml:space="preserve">O presente apêndice apresenta, de forma sistematizada, os nove critérios diagnósticos estabelecidos pelo Manual Diagnóstico e Estatístico de Transtornos Mentais (DSM-5) para o Internet Gaming Disorder (IGD), conforme descritos por Guo Jing (2024). O diagnóstico clínico é indicado quando o indivíduo apresenta cinco ou mais dos critérios abaixo em um período de doze meses, com comprometimento funcional significativo nas esferas pessoal, social, acadêmica ou profissional.</w:t>
      </w:r>
    </w:p>
    <w:p>
      <w:pPr>
        <w:spacing w:after="80" w:before="80"/>
      </w:pPr>
      <w:r>
        <w:t xml:space="preserve"/>
      </w:r>
    </w:p>
    <w:p>
      <w:pPr>
        <w:spacing w:after="80" w:before="120"/>
        <w:jc w:val="center"/>
      </w:pPr>
      <w:r>
        <w:rPr>
          <w:rFonts w:ascii="Arial" w:cs="Arial" w:eastAsia="Arial" w:hAnsi="Arial"/>
          <w:b/>
          <w:bCs/>
          <w:sz w:val="22"/>
          <w:szCs w:val="22"/>
        </w:rPr>
        <w:t xml:space="preserve">Tabela A1 — Critérios Diagnósticos do DSM-5 para Internet Gaming Disorder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rPr>
          <w:tblHeader/>
        </w:trPr>
        <w:tc>
          <w:tcPr>
            <w:tcW w:type="dxa" w:w="72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04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Critério Diagnóstico (DSM-5 - IGD)</w:t>
            </w:r>
          </w:p>
        </w:tc>
        <w:tc>
          <w:tcPr>
            <w:tcW w:type="dxa" w:w="360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Manifestação Típica</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Preocupação constante com jogos digitais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Pensamentos recorrentes sobre jogos mesmo fora das sessões</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Sintomas de abstinência ao interromper o jogo</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Irritabilidade, ansiedade ou tristeza ao tentar parar</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Tolerância crescente (necessidade de jogar mais)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Aumento progressivo do tempo de jogo para obter satisfação</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Tentativas fracassadas de controlar o comportamento</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Incapacidade de reduzir ou parar mesmo querendo</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Perda de interesse em outras atividades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Abandono de hobbies, esportes e atividades sociais</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Continuidade apesar de consequências negativas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Persistência no jogo mesmo com prejuízos evidentes</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Enganar familiares sobre o tempo de jogo</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Ocultação do uso excessivo de dispositivos e jogos</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Uso do jogo para escapar de estados negativos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Jogar para aliviar ansiedade, culpa ou humor deprimido</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Comprometimento de relações/oportunidades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20"/>
                <w:szCs w:val="20"/>
              </w:rPr>
              <w:t xml:space="preserve">Perda de empregos, relacionamentos ou rendimento acadêmico</w:t>
            </w:r>
          </w:p>
        </w:tc>
      </w:tr>
    </w:tbl>
    <w:p>
      <w:pPr>
        <w:spacing w:after="160" w:before="80"/>
        <w:jc w:val="center"/>
      </w:pPr>
      <w:r>
        <w:rPr>
          <w:rFonts w:ascii="Arial" w:cs="Arial" w:eastAsia="Arial" w:hAnsi="Arial"/>
          <w:i/>
          <w:iCs/>
          <w:color w:val="555555"/>
          <w:sz w:val="20"/>
          <w:szCs w:val="20"/>
        </w:rPr>
        <w:t xml:space="preserve">Fonte: Adaptado de Guo Jing (2024) e American Psychiatric Association (DSM-5).</w:t>
      </w:r>
    </w:p>
    <w:p>
      <w:pPr>
        <w:spacing w:after="100" w:before="100" w:line="360"/>
        <w:ind w:firstLine="720"/>
        <w:jc w:val="both"/>
      </w:pPr>
      <w:r>
        <w:rPr>
          <w:rFonts w:ascii="Arial" w:cs="Arial" w:eastAsia="Arial" w:hAnsi="Arial"/>
          <w:sz w:val="24"/>
          <w:szCs w:val="24"/>
        </w:rPr>
        <w:t xml:space="preserve">Para fins de aplicação clínica, é fundamental que o profissional de saúde avalie o contexto cultural, a frequência, a intensidade e a duração dos comportamentos relatados, bem como o grau de prejuízo funcional. O diagnóstico não deve ser estabelecido com base exclusivamente na quantidade de horas dedicadas ao jogo, mas sim na presença de comprometimento real e persistente das responsabilidades cotidianas (GUO JING, 2024; HELWATUZZAKIAH et al., 2022).</w:t>
      </w:r>
    </w:p>
    <w:p>
      <w:pPr>
        <w:spacing w:after="100" w:before="100" w:line="360"/>
        <w:ind w:firstLine="720"/>
        <w:jc w:val="both"/>
      </w:pPr>
      <w:r>
        <w:rPr>
          <w:rFonts w:ascii="Arial" w:cs="Arial" w:eastAsia="Arial" w:hAnsi="Arial"/>
          <w:sz w:val="24"/>
          <w:szCs w:val="24"/>
        </w:rPr>
        <w:t xml:space="preserve">Os dados apresentados neste apêndice foram utilizados como referencial para a análise dos mecanismos de design predatório discutidos no corpo do artigo, especialmente no que concerne à correlação entre práticas como reforço intermitente e loot boxes e o preenchimento de critérios diagnósticos como tolerância crescente, perda de controle e uso do jogo como fuga emocional.</w:t>
      </w:r>
    </w:p>
    <w:p>
      <w:pPr>
        <w:pageBreakBefore/>
        <w:spacing w:after="200" w:before="400"/>
        <w:jc w:val="left"/>
      </w:pPr>
      <w:r>
        <w:rPr>
          <w:rFonts w:ascii="Arial" w:cs="Arial" w:eastAsia="Arial" w:hAnsi="Arial"/>
          <w:b/>
          <w:bCs/>
          <w:sz w:val="28"/>
          <w:szCs w:val="28"/>
        </w:rPr>
        <w:t>APÊNDICE B — ESCALA DE AVALIAÇÃO DO USO PROBLEMÁTICO DE VIDEOGAMES (IGD-20)</w:t>
      </w:r>
    </w:p>
    <w:p>
      <w:pPr>
        <w:spacing w:after="100" w:before="100" w:line="360"/>
        <w:ind w:firstLine="720"/>
        <w:jc w:val="both"/>
      </w:pPr>
      <w:r>
        <w:rPr>
          <w:rFonts w:ascii="Arial" w:cs="Arial" w:eastAsia="Arial" w:hAnsi="Arial"/>
          <w:sz w:val="24"/>
          <w:szCs w:val="24"/>
        </w:rPr>
        <w:t xml:space="preserve">O IGD-20 (Internet Gaming Disorder Test) é um instrumento psicométrico composto por vinte itens, desenvolvido para avaliar a presença e a gravidade do Transtorno de Jogo pela Internet com base nos nove critérios do DSM-5. Cada item é respondido em uma escala Likert de cinco pontos (1 = Discordo Totalmente; 5 = Concordo Totalmente), e a pontuação total varia de 20 a 100 pontos. Pontuações acima de 71 indicam risco elevado de Gaming Disorder (PONTES et al., 2021).</w:t>
      </w:r>
    </w:p>
    <w:p>
      <w:pPr>
        <w:spacing w:after="160" w:before="200"/>
        <w:jc w:val="left"/>
      </w:pPr>
      <w:r>
        <w:rPr>
          <w:rFonts w:ascii="Arial" w:cs="Arial" w:eastAsia="Arial" w:hAnsi="Arial"/>
          <w:b/>
          <w:bCs/>
          <w:sz w:val="24"/>
          <w:szCs w:val="24"/>
        </w:rPr>
        <w:t>Tabela B1 — Dimensões e Exemplos de Itens do IGD-20</w:t>
      </w:r>
    </w:p>
    <w:tbl>
      <w:tblPr>
        <w:tblW w:type="dxa" w:w="9026"/>
        <w:tblBorders>
          <w:insideH w:val="single" w:color="AAAAAA" w:sz="1"/>
          <w:insideV w:val="single" w:color="AAAAAA" w:sz="1"/>
        </w:tblBorders>
      </w:tblPr>
      <w:tblGrid>
        <w:gridCol w:w="2500"/>
        <w:gridCol w:w="4526"/>
        <w:gridCol w:w="2000"/>
      </w:tblGrid>
      <w:tr>
        <w:tc>
          <w:tcPr>
            <w:tcW w:type="dxa" w:w="2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Dimensão</w:t>
            </w:r>
          </w:p>
        </w:tc>
        <w:tc>
          <w:tcPr>
            <w:tcW w:type="dxa" w:w="4526"/>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Exemplo de Item</w:t>
            </w:r>
          </w:p>
        </w:tc>
        <w:tc>
          <w:tcPr>
            <w:tcW w:type="dxa" w:w="2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0"/>
                <w:szCs w:val="20"/>
              </w:rPr>
              <w:t>Critério DSM-5 Associado</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Preocupação</w:t>
            </w:r>
          </w:p>
        </w:tc>
        <w:tc>
          <w:tcPr>
            <w:tcW w:type="dxa" w:w="45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“Fico pensando em jogos durante o dia, mesmo quando estou realizando outras atividades.”</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Critério 1</w:t>
            </w:r>
          </w:p>
        </w:tc>
      </w:tr>
      <w:tr>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Abstiência</w:t>
            </w:r>
          </w:p>
        </w:tc>
        <w:tc>
          <w:tcPr>
            <w:tcW w:type="dxa" w:w="4526"/>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“Fico irritado ou ansioso quando não consigo jogar.”</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Critério 2</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Tolerância</w:t>
            </w:r>
          </w:p>
        </w:tc>
        <w:tc>
          <w:tcPr>
            <w:tcW w:type="dxa" w:w="45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“Preciso jogar cada vez mais tempo para sentir a mesma satisfação de antes.”</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Critério 3</w:t>
            </w:r>
          </w:p>
        </w:tc>
      </w:tr>
      <w:tr>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Perda de Controle</w:t>
            </w:r>
          </w:p>
        </w:tc>
        <w:tc>
          <w:tcPr>
            <w:tcW w:type="dxa" w:w="4526"/>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“Tentei diminuir o tempo de jogo, mas não consegui.”</w:t>
            </w:r>
          </w:p>
        </w:tc>
        <w:tc>
          <w:tcPr>
            <w:tcW w:type="dxa" w:w="20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Critério 4</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Fuga Emocional</w:t>
            </w:r>
          </w:p>
        </w:tc>
        <w:tc>
          <w:tcPr>
            <w:tcW w:type="dxa" w:w="45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“Utilizo os jogos para aliviar sentimentos negativos como ansiedade ou tristeza.”</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Critério 8</w:t>
            </w:r>
          </w:p>
        </w:tc>
      </w:tr>
    </w:tbl>
    <w:p>
      <w:pPr>
        <w:spacing w:after="160" w:before="80"/>
        <w:jc w:val="center"/>
      </w:pPr>
      <w:r>
        <w:rPr>
          <w:rFonts w:ascii="Arial" w:cs="Arial" w:eastAsia="Arial" w:hAnsi="Arial"/>
          <w:i/>
          <w:iCs/>
          <w:color w:val="555555"/>
          <w:sz w:val="20"/>
          <w:szCs w:val="20"/>
        </w:rPr>
        <w:t>Fonte: Elaborado pelos autores com base em Pontes et al. (2021) e American Psychiatric Association (DSM-5).</w:t>
      </w:r>
    </w:p>
    <w:p>
      <w:pPr>
        <w:spacing w:after="100" w:before="100" w:line="360"/>
        <w:ind w:firstLine="720"/>
        <w:jc w:val="both"/>
      </w:pPr>
      <w:r>
        <w:rPr>
          <w:rFonts w:ascii="Arial" w:cs="Arial" w:eastAsia="Arial" w:hAnsi="Arial"/>
          <w:sz w:val="24"/>
          <w:szCs w:val="24"/>
        </w:rPr>
        <w:t xml:space="preserve">O IGD-20 demonstrou boas propriedades psicométricas em estudos transculturais, sendo amplamente utilizado para triagem em pesquisas acadêmicas e clínicas. Sua estrutura multidimensional permite identificar quais aspectos do transtorno são mais proeminentes em cada indivíduo, orientando intervenções terapêuticas mais direcionadas e eficazes (PONTES et al., 2021).</w:t>
      </w:r>
    </w:p>
    <w:p>
      <w:pPr>
        <w:pageBreakBefore/>
        <w:spacing w:after="200" w:before="400"/>
        <w:jc w:val="left"/>
      </w:pPr>
      <w:r>
        <w:rPr>
          <w:rFonts w:ascii="Arial" w:cs="Arial" w:eastAsia="Arial" w:hAnsi="Arial"/>
          <w:b/>
          <w:bCs/>
          <w:sz w:val="28"/>
          <w:szCs w:val="28"/>
        </w:rPr>
        <w:t>APÊNDICE C — IMPACTOS DO GAMING DISORDER NO DESEMPENHO ACADÊMICO</w:t>
      </w:r>
    </w:p>
    <w:p>
      <w:pPr>
        <w:spacing w:after="100" w:before="100" w:line="360"/>
        <w:ind w:firstLine="720"/>
        <w:jc w:val="both"/>
      </w:pPr>
      <w:r>
        <w:rPr>
          <w:rFonts w:ascii="Arial" w:cs="Arial" w:eastAsia="Arial" w:hAnsi="Arial"/>
          <w:sz w:val="24"/>
          <w:szCs w:val="24"/>
        </w:rPr>
        <w:t xml:space="preserve">Este apêndice sintetiza os principais achados empíricos sobre a relação entre o uso problemático de videogames e o rendimento acadêmico, com foco em estudantes do ensino superior. Os dados compilados derivam dos estudos analisados na revisão bibliográfica e buscam quantificar os impactos funcionais documentados na literatura entre 2018 e 2024.</w:t>
      </w:r>
    </w:p>
    <w:p>
      <w:pPr>
        <w:spacing w:after="100" w:before="100" w:line="360"/>
        <w:ind w:firstLine="720"/>
        <w:jc w:val="both"/>
      </w:pPr>
      <w:r>
        <w:rPr>
          <w:rFonts w:ascii="Arial" w:cs="Arial" w:eastAsia="Arial" w:hAnsi="Arial"/>
          <w:sz w:val="24"/>
          <w:szCs w:val="24"/>
        </w:rPr>
        <w:t xml:space="preserve">Costales et al. (2022) identificaram, em uma amostra de 513 universitários, que o aumento do tempo de jogo estava negativamente correlacionado com a qualidade das interações sociais e com o rendimento acadêmico. O isolamento social foi o fator emocional mais prevalente, afetando 72,1% dos respondentes. Além disso, Helwatuzzakiah et al. (2022) observaram que jogadores com uso compulsivo apresentavam dificuldades recorrentes em cumprir obrigações éticas e religiosas, como a pontualidade em compromissos essenciais, evidenciando uma subordinação das responsabilidades cotidianas à lógica do entretenimento digital.</w:t>
      </w:r>
    </w:p>
    <w:p>
      <w:pPr>
        <w:spacing w:after="160" w:before="200"/>
        <w:jc w:val="left"/>
      </w:pPr>
      <w:r>
        <w:rPr>
          <w:rFonts w:ascii="Arial" w:cs="Arial" w:eastAsia="Arial" w:hAnsi="Arial"/>
          <w:b/>
          <w:bCs/>
          <w:sz w:val="24"/>
          <w:szCs w:val="24"/>
        </w:rPr>
        <w:t>Tabela C1 — Impactos Acadêmicos Documentados do Gaming Disorder em Universitários</w:t>
      </w:r>
    </w:p>
    <w:tbl>
      <w:tblPr>
        <w:tblW w:type="dxa" w:w="9026"/>
        <w:tblBorders>
          <w:insideH w:val="single" w:color="AAAAAA" w:sz="1"/>
          <w:insideV w:val="single" w:color="AAAAAA" w:sz="1"/>
        </w:tblBorders>
      </w:tblPr>
      <w:tblGrid>
        <w:gridCol w:w="3500"/>
        <w:gridCol w:w="3026"/>
        <w:gridCol w:w="2500"/>
      </w:tblGrid>
      <w:tr>
        <w:tc>
          <w:tcPr>
            <w:tcW w:type="dxa" w:w="3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hAnsi="Arial"/>
                <w:b/>
                <w:bCs/>
                <w:color w:val="FFFFFF"/>
                <w:sz w:val="20"/>
                <w:szCs w:val="20"/>
              </w:rPr>
              <w:t>Impacto Identificado</w:t>
            </w:r>
          </w:p>
        </w:tc>
        <w:tc>
          <w:tcPr>
            <w:tcW w:type="dxa" w:w="3026"/>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hAnsi="Arial"/>
                <w:b/>
                <w:bCs/>
                <w:color w:val="FFFFFF"/>
                <w:sz w:val="20"/>
                <w:szCs w:val="20"/>
              </w:rPr>
              <w:t>Dado / Percentual</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hAnsi="Arial"/>
                <w:b/>
                <w:bCs/>
                <w:color w:val="FFFFFF"/>
                <w:sz w:val="20"/>
                <w:szCs w:val="20"/>
              </w:rPr>
              <w:t>Referência</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Isolamento social como fator emocional prevalente</w:t>
            </w:r>
          </w:p>
        </w:tc>
        <w:tc>
          <w:tcPr>
            <w:tcW w:type="dxa" w:w="30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72,1% dos respondentes (n=513)</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Costales et al. (2022)</w:t>
            </w:r>
          </w:p>
        </w:tc>
      </w:tr>
      <w:tr>
        <w:tc>
          <w:tcPr>
            <w:tcW w:type="dxa" w:w="3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Redução da qualidade das interações sociais com aumento do tempo de jogo</w:t>
            </w:r>
          </w:p>
        </w:tc>
        <w:tc>
          <w:tcPr>
            <w:tcW w:type="dxa" w:w="3026"/>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Correlação negativa significativa (p &lt; 0,05)</w:t>
            </w:r>
          </w:p>
        </w:tc>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Costales et al. (2022)</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Dificuldade em cumprir obrigações cotidianas e horarios</w:t>
            </w:r>
          </w:p>
        </w:tc>
        <w:tc>
          <w:tcPr>
            <w:tcW w:type="dxa" w:w="30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Padrão comportamental recorrente em jogadores compulsivos</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hAnsi="Arial"/>
                <w:sz w:val="20"/>
                <w:szCs w:val="20"/>
              </w:rPr>
              <w:t>Helwatuzzakiah et al. (2022)</w:t>
            </w:r>
          </w:p>
        </w:tc>
      </w:tr>
      <w:tr>
        <w:tc>
          <w:tcPr>
            <w:tcW w:type="dxa" w:w="3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Comprometimento do desempenho acadêmico (critério diagnóstico CID-11)</w:t>
            </w:r>
          </w:p>
        </w:tc>
        <w:tc>
          <w:tcPr>
            <w:tcW w:type="dxa" w:w="3026"/>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Exigido por período mínimo de 12 meses para diagnóstico</w:t>
            </w:r>
          </w:p>
        </w:tc>
        <w:tc>
          <w:tcPr>
            <w:tcW w:type="dxa" w:w="2500"/>
            <w:tcBorders>
              <w:top w:val="single" w:color="AAAAAA" w:sz="1"/>
              <w:left w:val="single" w:color="AAAAAA" w:sz="1"/>
              <w:bottom w:val="single" w:color="AAAAAA" w:sz="1"/>
              <w:right w:val="single" w:color="AAAAAA" w:sz="1"/>
            </w:tcBorders>
            <w:shd w:fill="F2F2F2" w:val="clear"/>
            <w:tcMar>
              <w:top w:type="dxa" w:w="100"/>
              <w:left w:type="dxa" w:w="120"/>
              <w:bottom w:type="dxa" w:w="100"/>
              <w:right w:type="dxa" w:w="120"/>
            </w:tcMar>
          </w:tcPr>
          <w:p>
            <w:r>
              <w:rPr>
                <w:rFonts w:ascii="Arial" w:cs="Arial" w:hAnsi="Arial"/>
                <w:sz w:val="20"/>
                <w:szCs w:val="20"/>
              </w:rPr>
              <w:t>Helwatuzzakiah et al. (2022); WHO (2018)</w:t>
            </w:r>
          </w:p>
        </w:tc>
      </w:tr>
    </w:tbl>
    <w:p>
      <w:pPr>
        <w:spacing w:after="160" w:before="80"/>
        <w:jc w:val="center"/>
      </w:pPr>
      <w:r>
        <w:rPr>
          <w:rFonts w:ascii="Arial" w:cs="Arial" w:eastAsia="Arial" w:hAnsi="Arial"/>
          <w:i/>
          <w:iCs/>
          <w:color w:val="555555"/>
          <w:sz w:val="20"/>
          <w:szCs w:val="20"/>
        </w:rPr>
        <w:t>Fonte: Elaborado pelos autores com base em Costales et al. (2022) e Helwatuzzakiah et al. (2022).</w:t>
      </w:r>
    </w:p>
    <w:p>
      <w:pPr>
        <w:pageBreakBefore/>
        <w:spacing w:after="200" w:before="400"/>
        <w:jc w:val="left"/>
      </w:pPr>
      <w:r>
        <w:rPr>
          <w:rFonts w:ascii="Arial" w:cs="Arial" w:eastAsia="Arial" w:hAnsi="Arial"/>
          <w:b/>
          <w:bCs/>
          <w:sz w:val="28"/>
          <w:szCs w:val="28"/>
        </w:rPr>
        <w:t>APÊNDICE D — REGULAMENTAÇÃO DE LOOT BOXES: PANORAMA INTERNACIONAL</w:t>
      </w:r>
    </w:p>
    <w:p>
      <w:pPr>
        <w:spacing w:after="100" w:before="100" w:line="360"/>
        <w:ind w:firstLine="720"/>
        <w:jc w:val="both"/>
      </w:pPr>
      <w:r>
        <w:rPr>
          <w:rFonts w:ascii="Arial" w:cs="Arial" w:eastAsia="Arial" w:hAnsi="Arial"/>
          <w:sz w:val="24"/>
          <w:szCs w:val="24"/>
        </w:rPr>
        <w:t xml:space="preserve">As loot boxes representam um dos mecanismos de design predatório mais controversos da indústria de jogos digitais. Sua natureza híbrida — situando-se na fronteira entre entretenimento e jogo de azar — motivou respostas regulatórias distintas ao redor do mundo. Este apêndice apresenta um panorama internacional das principais iniciativas legislativas e regulatórias relacionadas às loot boxes, evidenciando como diferentes jurisdições têm respondido aos riscos identificados por Király, Potenza e Demetrovics (2022) e Zendle (2020).</w:t>
      </w:r>
    </w:p>
    <w:p>
      <w:pPr>
        <w:spacing w:after="100" w:before="100" w:line="360"/>
        <w:ind w:firstLine="720"/>
        <w:jc w:val="both"/>
      </w:pPr>
      <w:r>
        <w:rPr>
          <w:rFonts w:ascii="Arial" w:cs="Arial" w:eastAsia="Arial" w:hAnsi="Arial"/>
          <w:sz w:val="24"/>
          <w:szCs w:val="24"/>
        </w:rPr>
        <w:t xml:space="preserve">A Bélgica foi pioneira ao proibir loot boxes pagas em 2018, classificando-as como jogo de azar sob sua legislação. Os Países Baixos adotaram abordagem similar, exigindo transparência sobre probabilidades de drop. Na China, desde 2016, desenvolvedoras são obrigadas a divulgar as taxas de obtenção de itens. O Brasil, embora não disponha de regulamentação específica, vem debatendo o tema no âmbito do Marco Legal dos Jogos Eletrônicos. Nos Estados Unidos, a Federal Trade Commission (FTC) iniciou investigações setoriais sobre práticas de monetização voltadas a menores de idade.</w:t>
      </w:r>
    </w:p>
    <w:p>
      <w:pPr>
        <w:spacing w:after="100" w:before="100" w:line="360"/>
        <w:ind w:firstLine="720"/>
        <w:jc w:val="both"/>
      </w:pPr>
      <w:r>
        <w:rPr>
          <w:rFonts w:ascii="Arial" w:cs="Arial" w:eastAsia="Arial" w:hAnsi="Arial"/>
          <w:sz w:val="24"/>
          <w:szCs w:val="24"/>
        </w:rPr>
        <w:t xml:space="preserve">O debate regulatório reflete a tensão entre a liberdade comercial das desenvolvedoras e a proteção dos consumidores, especialmente crianças e adolescentes. Sob a ótica kantiana discutida no artigo, a ausência de regulamentação adequada permite que mecanismos que instrumentalizam o jogador como meio para fins lucrativos persistam sem responsabilização efetiva (GIL; ARNEDO-MORENO, 2020).</w:t>
      </w:r>
    </w:p>
    <w:p>
      <w:pPr>
        <w:pageBreakBefore/>
        <w:spacing w:after="200" w:before="400"/>
        <w:jc w:val="left"/>
      </w:pPr>
      <w:r>
        <w:rPr>
          <w:rFonts w:ascii="Arial" w:cs="Arial" w:eastAsia="Arial" w:hAnsi="Arial"/>
          <w:b/>
          <w:bCs/>
          <w:sz w:val="28"/>
          <w:szCs w:val="28"/>
        </w:rPr>
        <w:t>APÊNDICE E — RECOMENDAÇÕES PARA DESIGN ÉTICO EM JOGOS DIGITAIS</w:t>
      </w:r>
    </w:p>
    <w:p>
      <w:pPr>
        <w:spacing w:after="100" w:before="100" w:line="360"/>
        <w:ind w:firstLine="720"/>
        <w:jc w:val="both"/>
      </w:pPr>
      <w:r>
        <w:rPr>
          <w:rFonts w:ascii="Arial" w:cs="Arial" w:eastAsia="Arial" w:hAnsi="Arial"/>
          <w:sz w:val="24"/>
          <w:szCs w:val="24"/>
        </w:rPr>
        <w:t xml:space="preserve">Com base na literatura revisada e nos princípios do Value-Sensitive Design (VSD) propostos por Gil e Arnedo-Moreno (2020), este apêndice compila um conjunto de recomendações práticas para o desenvolvimento ético de jogos digitais. O objetivo é orientar desenvolvedores, produtoras e reguladores sobre como incorporar valores como autonomia, dignidade e bem-estar ao processo de design, em conformidade com os princípios kantianos discutidos no corpo do artigo.</w:t>
      </w:r>
    </w:p>
    <w:p>
      <w:pPr>
        <w:spacing w:after="120" w:before="160"/>
        <w:jc w:val="left"/>
      </w:pPr>
      <w:r>
        <w:rPr>
          <w:rFonts w:ascii="Arial" w:cs="Arial" w:eastAsia="Arial" w:hAnsi="Arial"/>
          <w:b/>
          <w:bCs/>
          <w:sz w:val="24"/>
          <w:szCs w:val="24"/>
        </w:rPr>
        <w:t>E.1 Transparência e Informação ao Usuário</w:t>
      </w:r>
    </w:p>
    <w:p>
      <w:pPr>
        <w:spacing w:after="100" w:before="100" w:line="360"/>
        <w:ind w:firstLine="720"/>
        <w:jc w:val="both"/>
      </w:pPr>
      <w:r>
        <w:rPr>
          <w:rFonts w:ascii="Arial" w:cs="Arial" w:eastAsia="Arial" w:hAnsi="Arial"/>
          <w:sz w:val="24"/>
          <w:szCs w:val="24"/>
        </w:rPr>
        <w:t xml:space="preserve">Desenvolvedoras devem divulgar de forma clara e acessível as probabilidades de obtenção de itens em mecanismos aleatórios (loot boxes, gachas), o custo real em moeda corrente de moedas virtuais e o tempo médio de sessão de jogo. A transparência é um pré-requisito para o consentimento informado e para a preservação da autonomia do usuário (GIL; ARNEDO-MORENO, 2020).</w:t>
      </w:r>
    </w:p>
    <w:p>
      <w:pPr>
        <w:spacing w:after="120" w:before="160"/>
        <w:jc w:val="left"/>
      </w:pPr>
      <w:r>
        <w:rPr>
          <w:rFonts w:ascii="Arial" w:cs="Arial" w:eastAsia="Arial" w:hAnsi="Arial"/>
          <w:b/>
          <w:bCs/>
          <w:sz w:val="24"/>
          <w:szCs w:val="24"/>
        </w:rPr>
        <w:t>E.2 Limites e Ferramentas de Autocontrole</w:t>
      </w:r>
    </w:p>
    <w:p>
      <w:pPr>
        <w:spacing w:after="100" w:before="100" w:line="360"/>
        <w:ind w:firstLine="720"/>
        <w:jc w:val="both"/>
      </w:pPr>
      <w:r>
        <w:rPr>
          <w:rFonts w:ascii="Arial" w:cs="Arial" w:eastAsia="Arial" w:hAnsi="Arial"/>
          <w:sz w:val="24"/>
          <w:szCs w:val="24"/>
        </w:rPr>
        <w:t xml:space="preserve">A implementação nativa de recursos como lembretes de tempo de sessão, limites diários configuráveis pelo usuário e pausas obrigatórias contribui diretamente para a redução do uso compulsivo. Essas ferramentas devem ser de fácil acesso e não devem ser enterradas em menus secundários ou configuradas de forma que seu desligamento seja mais simples que sua ativação.</w:t>
      </w:r>
    </w:p>
    <w:p>
      <w:pPr>
        <w:spacing w:after="120" w:before="160"/>
        <w:jc w:val="left"/>
      </w:pPr>
      <w:r>
        <w:rPr>
          <w:rFonts w:ascii="Arial" w:cs="Arial" w:eastAsia="Arial" w:hAnsi="Arial"/>
          <w:b/>
          <w:bCs/>
          <w:sz w:val="24"/>
          <w:szCs w:val="24"/>
        </w:rPr>
        <w:t>E.3 Design Inclusivo e Proteção a Grupos Vulneráveis</w:t>
      </w:r>
    </w:p>
    <w:p>
      <w:pPr>
        <w:spacing w:after="100" w:before="100" w:line="360"/>
        <w:ind w:firstLine="720"/>
        <w:jc w:val="both"/>
      </w:pPr>
      <w:r>
        <w:rPr>
          <w:rFonts w:ascii="Arial" w:cs="Arial" w:eastAsia="Arial" w:hAnsi="Arial"/>
          <w:sz w:val="24"/>
          <w:szCs w:val="24"/>
        </w:rPr>
        <w:t xml:space="preserve">Jogos direcionados a públicos menores de 18 anos devem ser desenvolvidos com restrições mais rígidas sobre mecanismos de recompensa aleatória e compras dentro do aplicativo. Indivíduos com predisposições neurobiológicas ao vício, identificadas por Guo Jing (2024) como menor potência de ondas beta em repouso, são grupos de risco que merecem atenção específica nas políticas de design e nos protocolos de suporte ao usuário.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1"/>
      </w:pBdr>
      <w:spacing w:before="80"/>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spacing w:after="80"/>
      <w:jc w:val="right"/>
    </w:pPr>
    <w:r>
      <w:rPr>
        <w:rFonts w:ascii="Arial" w:cs="Arial" w:eastAsia="Arial" w:hAnsi="Arial"/>
        <w:i/>
        <w:iCs/>
        <w:color w:val="2C5F8A"/>
        <w:sz w:val="18"/>
        <w:szCs w:val="18"/>
      </w:rPr>
      <w:t xml:space="preserve">Transtorno Psicológico Causado pelo Vício em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5F8A"/>
      <w:sz w:val="24"/>
      <w:szCs w:val="24"/>
    </w:rPr>
  </w:style>
  <w:style w:type="paragraph" w:styleId="Heading3">
    <w:name w:val="Heading 3"/>
    <w:basedOn w:val="Normal"/>
    <w:next w:val="Normal"/>
    <w:qFormat/>
    <w:pPr>
      <w:spacing w:after="60" w:before="200"/>
      <w:outlineLvl w:val="2"/>
    </w:pPr>
    <w:rPr>
      <w:rFonts w:ascii="Arial" w:cs="Arial" w:eastAsia="Arial" w:hAnsi="Arial"/>
      <w:b/>
      <w:bCs/>
      <w:i/>
      <w:iCs/>
      <w:color w:val="1A3F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2026-04-10T12:44:38.808Z</dcterms:created>
  <dcterms:modified xsi:type="dcterms:W3CDTF">2026-04-10T12:44:38.809Z</dcterms:modified>
</cp:coreProperties>
</file>

<file path=docProps/custom.xml><?xml version="1.0" encoding="utf-8"?>
<Properties xmlns="http://schemas.openxmlformats.org/officeDocument/2006/custom-properties" xmlns:vt="http://schemas.openxmlformats.org/officeDocument/2006/docPropsVTypes"/>
</file>