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jc w:val="center"/>
        <w:rPr>
          <w:rFonts w:hint="default" w:ascii="Arial" w:hAnsi="Arial" w:eastAsia="Arial" w:cs="Arial"/>
          <w:b/>
          <w:color w:val="auto"/>
          <w:sz w:val="20"/>
          <w:szCs w:val="20"/>
        </w:rPr>
      </w:pPr>
      <w:r>
        <w:rPr>
          <w:rFonts w:hint="default" w:ascii="Arial" w:hAnsi="Arial" w:eastAsia="Arial" w:cs="Arial"/>
          <w:b/>
          <w:color w:val="auto"/>
          <w:sz w:val="20"/>
          <w:szCs w:val="20"/>
        </w:rPr>
        <w:t xml:space="preserve">DOCUMENTO DE PROJETO DE EXTENSÃO </w:t>
      </w:r>
    </w:p>
    <w:p>
      <w:pPr>
        <w:spacing w:after="0" w:line="240" w:lineRule="auto"/>
        <w:jc w:val="center"/>
        <w:rPr>
          <w:rFonts w:hint="default" w:ascii="Arial" w:hAnsi="Arial" w:eastAsia="Arial" w:cs="Arial"/>
          <w:b/>
          <w:color w:val="auto"/>
          <w:sz w:val="20"/>
          <w:szCs w:val="20"/>
        </w:rPr>
      </w:pPr>
    </w:p>
    <w:p>
      <w:pPr>
        <w:spacing w:after="0" w:line="240" w:lineRule="auto"/>
        <w:rPr>
          <w:rFonts w:hint="default" w:ascii="Arial" w:hAnsi="Arial" w:eastAsia="Arial" w:cs="Arial"/>
          <w:b/>
          <w:color w:val="auto"/>
          <w:sz w:val="20"/>
          <w:szCs w:val="20"/>
        </w:rPr>
      </w:pPr>
    </w:p>
    <w:p>
      <w:pPr>
        <w:spacing w:after="0" w:line="240" w:lineRule="auto"/>
        <w:rPr>
          <w:rFonts w:hint="default" w:ascii="Arial" w:hAnsi="Arial" w:eastAsia="Arial" w:cs="Arial"/>
          <w:b/>
          <w:color w:val="auto"/>
          <w:sz w:val="20"/>
          <w:szCs w:val="20"/>
        </w:rPr>
      </w:pPr>
      <w:r>
        <w:rPr>
          <w:rFonts w:hint="default" w:ascii="Arial" w:hAnsi="Arial" w:eastAsia="Arial" w:cs="Arial"/>
          <w:b/>
          <w:color w:val="auto"/>
          <w:sz w:val="20"/>
          <w:szCs w:val="20"/>
        </w:rPr>
        <w:t xml:space="preserve">1. DADOS GERAIS </w:t>
      </w:r>
    </w:p>
    <w:p>
      <w:pPr>
        <w:spacing w:after="0" w:line="240" w:lineRule="auto"/>
        <w:rPr>
          <w:rFonts w:hint="default" w:ascii="Arial" w:hAnsi="Arial" w:eastAsia="Arial" w:cs="Arial"/>
          <w:b/>
          <w:color w:val="auto"/>
          <w:sz w:val="20"/>
          <w:szCs w:val="20"/>
        </w:rPr>
      </w:pPr>
    </w:p>
    <w:p>
      <w:pPr>
        <w:spacing w:after="0" w:line="240" w:lineRule="auto"/>
        <w:rPr>
          <w:rFonts w:hint="default" w:ascii="Arial" w:hAnsi="Arial" w:eastAsia="Arial" w:cs="Arial"/>
          <w:b/>
          <w:color w:val="auto"/>
          <w:sz w:val="20"/>
          <w:szCs w:val="20"/>
        </w:rPr>
      </w:pPr>
      <w:r>
        <w:rPr>
          <w:rFonts w:hint="default" w:ascii="Arial" w:hAnsi="Arial" w:eastAsia="Arial" w:cs="Arial"/>
          <w:b/>
          <w:color w:val="auto"/>
          <w:sz w:val="20"/>
          <w:szCs w:val="20"/>
        </w:rPr>
        <w:t>Título do Projeto</w:t>
      </w:r>
    </w:p>
    <w:p>
      <w:pPr>
        <w:spacing w:after="0" w:line="240" w:lineRule="auto"/>
        <w:rPr>
          <w:rFonts w:hint="default" w:ascii="Arial" w:hAnsi="Arial" w:eastAsia="Arial" w:cs="Arial"/>
          <w:b/>
          <w:color w:val="auto"/>
          <w:sz w:val="20"/>
          <w:szCs w:val="20"/>
        </w:rPr>
      </w:pPr>
      <w:bookmarkStart w:id="0" w:name="_GoBack"/>
      <w:bookmarkEnd w:id="0"/>
    </w:p>
    <w:tbl>
      <w:tblPr>
        <w:tblStyle w:val="3"/>
        <w:tblW w:w="935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3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56" w:type="dxa"/>
          </w:tcPr>
          <w:p>
            <w:pPr>
              <w:keepNext w:val="0"/>
              <w:keepLines w:val="0"/>
              <w:widowControl/>
              <w:suppressLineNumbers w:val="0"/>
              <w:jc w:val="left"/>
              <w:rPr>
                <w:rFonts w:hint="default" w:ascii="Arial" w:hAnsi="Arial" w:eastAsia="Arial" w:cs="Arial"/>
                <w:color w:val="auto"/>
                <w:sz w:val="20"/>
                <w:szCs w:val="20"/>
              </w:rPr>
            </w:pPr>
            <w:r>
              <w:rPr>
                <w:rFonts w:hint="default" w:ascii="Arial" w:hAnsi="Arial" w:eastAsia="SimSun" w:cs="Arial"/>
                <w:color w:val="auto"/>
                <w:kern w:val="0"/>
                <w:sz w:val="20"/>
                <w:szCs w:val="20"/>
                <w:lang w:val="en-US" w:eastAsia="zh-CN" w:bidi="ar"/>
              </w:rPr>
              <w:t>Dashboard Web de Gestão, Engajamento e Fidelização – Cannoli Foodtech: um painel estratégico e operacional de indicadores para apoio à tomada de decisão no foodservice.</w:t>
            </w:r>
          </w:p>
        </w:tc>
      </w:tr>
    </w:tbl>
    <w:p>
      <w:pPr>
        <w:spacing w:after="0" w:line="240" w:lineRule="auto"/>
        <w:jc w:val="both"/>
        <w:rPr>
          <w:rFonts w:hint="default" w:ascii="Arial" w:hAnsi="Arial" w:eastAsia="Arial" w:cs="Arial"/>
          <w:color w:val="auto"/>
          <w:sz w:val="20"/>
          <w:szCs w:val="20"/>
        </w:rPr>
      </w:pPr>
    </w:p>
    <w:p>
      <w:pPr>
        <w:spacing w:after="0" w:line="240" w:lineRule="auto"/>
        <w:jc w:val="both"/>
        <w:rPr>
          <w:rFonts w:hint="default" w:ascii="Arial" w:hAnsi="Arial" w:eastAsia="Arial" w:cs="Arial"/>
          <w:b/>
          <w:color w:val="auto"/>
          <w:sz w:val="20"/>
          <w:szCs w:val="20"/>
        </w:rPr>
      </w:pPr>
      <w:r>
        <w:rPr>
          <w:rFonts w:hint="default" w:ascii="Arial" w:hAnsi="Arial" w:eastAsia="Arial" w:cs="Arial"/>
          <w:b/>
          <w:color w:val="auto"/>
          <w:sz w:val="20"/>
          <w:szCs w:val="20"/>
        </w:rPr>
        <w:t>Integrantes da equipe</w:t>
      </w:r>
    </w:p>
    <w:p>
      <w:pPr>
        <w:pBdr>
          <w:top w:val="none" w:color="auto" w:sz="0" w:space="0"/>
          <w:left w:val="none" w:color="auto" w:sz="0" w:space="0"/>
          <w:bottom w:val="none" w:color="auto" w:sz="0" w:space="0"/>
          <w:right w:val="none" w:color="auto" w:sz="0" w:space="0"/>
          <w:between w:val="none" w:color="auto" w:sz="0" w:space="0"/>
        </w:pBdr>
        <w:spacing w:after="0" w:line="240" w:lineRule="auto"/>
        <w:ind w:left="360" w:hanging="360"/>
        <w:rPr>
          <w:rFonts w:hint="default" w:ascii="Arial" w:hAnsi="Arial" w:eastAsia="Arial" w:cs="Arial"/>
          <w:b/>
          <w:color w:val="auto"/>
          <w:sz w:val="20"/>
          <w:szCs w:val="20"/>
        </w:rPr>
      </w:pPr>
      <w:r>
        <w:rPr>
          <w:rFonts w:hint="default" w:ascii="Arial" w:hAnsi="Arial" w:eastAsia="Arial" w:cs="Arial"/>
          <w:b/>
          <w:color w:val="auto"/>
          <w:sz w:val="20"/>
          <w:szCs w:val="20"/>
        </w:rPr>
        <w:t>Identificar o nome completo e o RA dos participantes do projeto</w:t>
      </w:r>
    </w:p>
    <w:tbl>
      <w:tblPr>
        <w:tblStyle w:val="3"/>
        <w:tblW w:w="9375"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675"/>
        <w:gridCol w:w="27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675" w:type="dxa"/>
            <w:shd w:val="clear" w:color="auto" w:fill="auto"/>
          </w:tcPr>
          <w:p>
            <w:pPr>
              <w:spacing w:after="0" w:line="240" w:lineRule="auto"/>
              <w:rPr>
                <w:rFonts w:hint="default" w:ascii="Arial" w:hAnsi="Arial" w:eastAsia="Arial" w:cs="Arial"/>
                <w:b/>
                <w:color w:val="auto"/>
                <w:sz w:val="20"/>
                <w:szCs w:val="20"/>
              </w:rPr>
            </w:pPr>
            <w:r>
              <w:rPr>
                <w:rFonts w:hint="default" w:ascii="Arial" w:hAnsi="Arial" w:eastAsia="Arial" w:cs="Arial"/>
                <w:b/>
                <w:color w:val="auto"/>
                <w:sz w:val="20"/>
                <w:szCs w:val="20"/>
              </w:rPr>
              <w:t>Nome:</w:t>
            </w:r>
          </w:p>
          <w:p>
            <w:pPr>
              <w:spacing w:after="0" w:line="240" w:lineRule="auto"/>
              <w:rPr>
                <w:rFonts w:hint="default" w:ascii="Arial" w:hAnsi="Arial" w:eastAsia="Arial" w:cs="Arial"/>
                <w:color w:val="auto"/>
                <w:sz w:val="20"/>
                <w:szCs w:val="20"/>
              </w:rPr>
            </w:pPr>
          </w:p>
        </w:tc>
        <w:tc>
          <w:tcPr>
            <w:tcW w:w="2700" w:type="dxa"/>
            <w:shd w:val="clear" w:color="auto" w:fill="auto"/>
          </w:tcPr>
          <w:p>
            <w:pPr>
              <w:spacing w:after="0" w:line="240" w:lineRule="auto"/>
              <w:rPr>
                <w:rFonts w:hint="default" w:ascii="Arial" w:hAnsi="Arial" w:eastAsia="Arial" w:cs="Arial"/>
                <w:color w:val="auto"/>
                <w:sz w:val="20"/>
                <w:szCs w:val="20"/>
              </w:rPr>
            </w:pPr>
            <w:r>
              <w:rPr>
                <w:rFonts w:hint="default" w:ascii="Arial" w:hAnsi="Arial" w:eastAsia="Arial" w:cs="Arial"/>
                <w:b/>
                <w:color w:val="auto"/>
                <w:sz w:val="20"/>
                <w:szCs w:val="20"/>
              </w:rPr>
              <w:t>RA: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675" w:type="dxa"/>
            <w:shd w:val="clear" w:color="auto" w:fill="auto"/>
          </w:tcPr>
          <w:p>
            <w:pPr>
              <w:spacing w:after="0" w:line="240" w:lineRule="auto"/>
              <w:rPr>
                <w:rFonts w:hint="default" w:ascii="Arial" w:hAnsi="Arial" w:eastAsia="Arial" w:cs="Arial"/>
                <w:b w:val="0"/>
                <w:bCs/>
                <w:color w:val="auto"/>
                <w:sz w:val="20"/>
                <w:szCs w:val="20"/>
                <w:lang w:val="pt-BR"/>
              </w:rPr>
            </w:pPr>
            <w:r>
              <w:rPr>
                <w:rFonts w:hint="default" w:ascii="Arial" w:hAnsi="Arial" w:eastAsia="Arial" w:cs="Arial"/>
                <w:b w:val="0"/>
                <w:bCs/>
                <w:color w:val="auto"/>
                <w:sz w:val="20"/>
                <w:szCs w:val="20"/>
                <w:lang w:val="pt-BR"/>
              </w:rPr>
              <w:t>Breno Costa do Nascimento</w:t>
            </w:r>
          </w:p>
        </w:tc>
        <w:tc>
          <w:tcPr>
            <w:tcW w:w="2700" w:type="dxa"/>
            <w:shd w:val="clear" w:color="auto" w:fill="auto"/>
          </w:tcPr>
          <w:p>
            <w:pPr>
              <w:spacing w:after="0" w:line="240" w:lineRule="auto"/>
              <w:rPr>
                <w:rFonts w:hint="default" w:ascii="Arial" w:hAnsi="Arial" w:eastAsia="Arial" w:cs="Arial"/>
                <w:b/>
                <w:color w:val="auto"/>
                <w:sz w:val="20"/>
                <w:szCs w:val="20"/>
                <w:lang w:val="pt-BR"/>
              </w:rPr>
            </w:pPr>
            <w:r>
              <w:rPr>
                <w:rFonts w:hint="default" w:ascii="Arial" w:hAnsi="Arial" w:eastAsia="Arial" w:cs="Arial"/>
                <w:b w:val="0"/>
                <w:bCs/>
                <w:color w:val="auto"/>
                <w:sz w:val="20"/>
                <w:szCs w:val="20"/>
                <w:lang w:val="pt-BR"/>
              </w:rPr>
              <w:t>24026753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675" w:type="dxa"/>
            <w:shd w:val="clear" w:color="auto" w:fill="auto"/>
          </w:tcPr>
          <w:p>
            <w:pPr>
              <w:spacing w:after="0" w:line="240" w:lineRule="auto"/>
              <w:rPr>
                <w:rFonts w:hint="default" w:ascii="Arial" w:hAnsi="Arial" w:eastAsia="Arial" w:cs="Arial"/>
                <w:b w:val="0"/>
                <w:bCs/>
                <w:color w:val="auto"/>
                <w:sz w:val="20"/>
                <w:szCs w:val="20"/>
                <w:lang w:val="pt-BR"/>
              </w:rPr>
            </w:pPr>
            <w:r>
              <w:rPr>
                <w:rFonts w:hint="default" w:ascii="Arial" w:hAnsi="Arial" w:eastAsia="Arial" w:cs="Arial"/>
                <w:b w:val="0"/>
                <w:bCs/>
                <w:color w:val="auto"/>
                <w:sz w:val="20"/>
                <w:szCs w:val="20"/>
                <w:lang w:val="pt-BR"/>
              </w:rPr>
              <w:t>Bruno Souza Lima</w:t>
            </w:r>
          </w:p>
        </w:tc>
        <w:tc>
          <w:tcPr>
            <w:tcW w:w="2700" w:type="dxa"/>
            <w:shd w:val="clear" w:color="auto" w:fill="auto"/>
          </w:tcPr>
          <w:p>
            <w:pPr>
              <w:spacing w:after="0" w:line="240" w:lineRule="auto"/>
              <w:rPr>
                <w:rFonts w:hint="default" w:ascii="Arial" w:hAnsi="Arial" w:eastAsia="Arial" w:cs="Arial"/>
                <w:b/>
                <w:bCs/>
                <w:color w:val="auto"/>
                <w:sz w:val="20"/>
                <w:szCs w:val="20"/>
                <w:lang w:val="pt-BR"/>
              </w:rPr>
            </w:pPr>
            <w:r>
              <w:rPr>
                <w:rFonts w:hint="default" w:ascii="Arial" w:hAnsi="Arial" w:cs="Arial"/>
                <w:b w:val="0"/>
                <w:bCs w:val="0"/>
                <w:color w:val="auto"/>
                <w:sz w:val="20"/>
                <w:szCs w:val="20"/>
                <w:lang w:val="pt-BR"/>
              </w:rPr>
              <w:t>24026560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675" w:type="dxa"/>
            <w:shd w:val="clear" w:color="auto" w:fill="auto"/>
          </w:tcPr>
          <w:p>
            <w:pPr>
              <w:spacing w:after="0" w:line="240" w:lineRule="auto"/>
              <w:rPr>
                <w:rFonts w:hint="default" w:ascii="Arial" w:hAnsi="Arial" w:eastAsia="Arial" w:cs="Arial"/>
                <w:b w:val="0"/>
                <w:bCs/>
                <w:color w:val="auto"/>
                <w:sz w:val="20"/>
                <w:szCs w:val="20"/>
                <w:lang w:val="pt-BR"/>
              </w:rPr>
            </w:pPr>
            <w:r>
              <w:rPr>
                <w:rFonts w:hint="default" w:ascii="Arial" w:hAnsi="Arial" w:eastAsia="Arial" w:cs="Arial"/>
                <w:b w:val="0"/>
                <w:bCs/>
                <w:color w:val="auto"/>
                <w:sz w:val="20"/>
                <w:szCs w:val="20"/>
                <w:lang w:val="pt-BR"/>
              </w:rPr>
              <w:t>Felipe Toshio Yamaschita</w:t>
            </w:r>
          </w:p>
        </w:tc>
        <w:tc>
          <w:tcPr>
            <w:tcW w:w="2700" w:type="dxa"/>
            <w:shd w:val="clear" w:color="auto" w:fill="auto"/>
          </w:tcPr>
          <w:p>
            <w:pPr>
              <w:spacing w:after="0" w:line="240" w:lineRule="auto"/>
              <w:rPr>
                <w:rFonts w:hint="default" w:ascii="Arial" w:hAnsi="Arial" w:eastAsia="Arial" w:cs="Arial"/>
                <w:b/>
                <w:color w:val="auto"/>
                <w:sz w:val="20"/>
                <w:szCs w:val="20"/>
              </w:rPr>
            </w:pPr>
            <w:r>
              <w:rPr>
                <w:rFonts w:hint="default" w:ascii="Arial" w:hAnsi="Arial" w:eastAsia="Arial" w:cs="Arial"/>
                <w:b w:val="0"/>
                <w:bCs/>
                <w:color w:val="auto"/>
                <w:sz w:val="20"/>
                <w:szCs w:val="20"/>
              </w:rPr>
              <w:t>24026779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675" w:type="dxa"/>
            <w:shd w:val="clear" w:color="auto" w:fill="auto"/>
          </w:tcPr>
          <w:p>
            <w:pPr>
              <w:spacing w:after="0" w:line="240" w:lineRule="auto"/>
              <w:rPr>
                <w:rFonts w:hint="default" w:ascii="Arial" w:hAnsi="Arial" w:eastAsia="Arial" w:cs="Arial"/>
                <w:b w:val="0"/>
                <w:bCs/>
                <w:color w:val="auto"/>
                <w:sz w:val="20"/>
                <w:szCs w:val="20"/>
                <w:lang w:val="pt-BR"/>
              </w:rPr>
            </w:pPr>
            <w:r>
              <w:rPr>
                <w:rFonts w:hint="default" w:ascii="Arial" w:hAnsi="Arial" w:eastAsia="Arial" w:cs="Arial"/>
                <w:b w:val="0"/>
                <w:bCs/>
                <w:color w:val="auto"/>
                <w:sz w:val="20"/>
                <w:szCs w:val="20"/>
                <w:lang w:val="pt-BR"/>
              </w:rPr>
              <w:t>Vinícius Nishimura Reis</w:t>
            </w:r>
          </w:p>
        </w:tc>
        <w:tc>
          <w:tcPr>
            <w:tcW w:w="2700" w:type="dxa"/>
            <w:shd w:val="clear" w:color="auto" w:fill="auto"/>
          </w:tcPr>
          <w:p>
            <w:pPr>
              <w:spacing w:after="0" w:line="240" w:lineRule="auto"/>
              <w:rPr>
                <w:rFonts w:hint="default" w:ascii="Arial" w:hAnsi="Arial" w:eastAsia="Arial" w:cs="Arial"/>
                <w:b/>
                <w:color w:val="auto"/>
                <w:sz w:val="20"/>
                <w:szCs w:val="20"/>
                <w:lang w:val="pt-BR"/>
              </w:rPr>
            </w:pPr>
            <w:r>
              <w:rPr>
                <w:rFonts w:hint="default" w:ascii="Arial" w:hAnsi="Arial" w:eastAsia="Arial" w:cs="Arial"/>
                <w:b w:val="0"/>
                <w:bCs/>
                <w:color w:val="auto"/>
                <w:sz w:val="20"/>
                <w:szCs w:val="20"/>
                <w:lang w:val="pt-BR"/>
              </w:rPr>
              <w:t>24026962</w:t>
            </w:r>
          </w:p>
        </w:tc>
      </w:tr>
    </w:tbl>
    <w:p>
      <w:p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rFonts w:hint="default" w:ascii="Arial" w:hAnsi="Arial" w:eastAsia="Arial" w:cs="Arial"/>
          <w:b/>
          <w:color w:val="auto"/>
          <w:sz w:val="20"/>
          <w:szCs w:val="20"/>
        </w:rPr>
      </w:pPr>
    </w:p>
    <w:p>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Arial" w:hAnsi="Arial" w:eastAsia="Arial" w:cs="Arial"/>
          <w:b/>
          <w:color w:val="auto"/>
          <w:sz w:val="20"/>
          <w:szCs w:val="20"/>
        </w:rPr>
      </w:pPr>
      <w:r>
        <w:rPr>
          <w:rFonts w:hint="default" w:ascii="Arial" w:hAnsi="Arial" w:eastAsia="Arial" w:cs="Arial"/>
          <w:b/>
          <w:color w:val="auto"/>
          <w:sz w:val="20"/>
          <w:szCs w:val="20"/>
        </w:rPr>
        <w:t>Professor responsável</w:t>
      </w:r>
    </w:p>
    <w:tbl>
      <w:tblPr>
        <w:tblStyle w:val="3"/>
        <w:tblW w:w="94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49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99" w:type="dxa"/>
          </w:tcPr>
          <w:p>
            <w:pPr>
              <w:keepNext w:val="0"/>
              <w:keepLines w:val="0"/>
              <w:widowControl/>
              <w:suppressLineNumbers w:val="0"/>
              <w:jc w:val="left"/>
              <w:rPr>
                <w:rFonts w:hint="default" w:ascii="Arial" w:hAnsi="Arial" w:eastAsia="Arial" w:cs="Arial"/>
                <w:b w:val="0"/>
                <w:bCs w:val="0"/>
                <w:color w:val="auto"/>
                <w:sz w:val="20"/>
                <w:szCs w:val="20"/>
              </w:rPr>
            </w:pPr>
            <w:r>
              <w:rPr>
                <w:rFonts w:hint="default" w:ascii="Arial" w:hAnsi="Arial" w:eastAsia="SimSun" w:cs="Arial"/>
                <w:b w:val="0"/>
                <w:bCs w:val="0"/>
                <w:color w:val="auto"/>
                <w:kern w:val="0"/>
                <w:sz w:val="20"/>
                <w:szCs w:val="20"/>
                <w:lang w:val="en-US" w:eastAsia="zh-CN" w:bidi="ar"/>
              </w:rPr>
              <w:t>Eduardo Savino Gomes</w:t>
            </w:r>
          </w:p>
        </w:tc>
      </w:tr>
    </w:tbl>
    <w:p>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Arial" w:hAnsi="Arial" w:eastAsia="Arial" w:cs="Arial"/>
          <w:b/>
          <w:color w:val="auto"/>
          <w:sz w:val="20"/>
          <w:szCs w:val="20"/>
        </w:rPr>
      </w:pPr>
    </w:p>
    <w:p>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Arial" w:hAnsi="Arial" w:eastAsia="Arial" w:cs="Arial"/>
          <w:b/>
          <w:color w:val="auto"/>
          <w:sz w:val="20"/>
          <w:szCs w:val="20"/>
        </w:rPr>
      </w:pPr>
      <w:r>
        <w:rPr>
          <w:rFonts w:hint="default" w:ascii="Arial" w:hAnsi="Arial" w:eastAsia="Arial" w:cs="Arial"/>
          <w:b/>
          <w:color w:val="auto"/>
          <w:sz w:val="20"/>
          <w:szCs w:val="20"/>
        </w:rPr>
        <w:t>Curso</w:t>
      </w:r>
    </w:p>
    <w:tbl>
      <w:tblPr>
        <w:tblStyle w:val="3"/>
        <w:tblW w:w="951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5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515" w:type="dxa"/>
          </w:tcPr>
          <w:p>
            <w:pPr>
              <w:keepNext w:val="0"/>
              <w:keepLines w:val="0"/>
              <w:widowControl/>
              <w:suppressLineNumbers w:val="0"/>
              <w:jc w:val="left"/>
              <w:rPr>
                <w:rFonts w:hint="default" w:ascii="Arial" w:hAnsi="Arial" w:eastAsia="Arial" w:cs="Arial"/>
                <w:b/>
                <w:color w:val="auto"/>
                <w:sz w:val="20"/>
                <w:szCs w:val="20"/>
              </w:rPr>
            </w:pPr>
            <w:r>
              <w:rPr>
                <w:rFonts w:hint="default" w:ascii="Arial" w:hAnsi="Arial" w:eastAsia="SimSun" w:cs="Arial"/>
                <w:kern w:val="0"/>
                <w:sz w:val="20"/>
                <w:szCs w:val="20"/>
                <w:lang w:val="en-US" w:eastAsia="zh-CN" w:bidi="ar"/>
              </w:rPr>
              <w:t>Ciência da Computação</w:t>
            </w:r>
          </w:p>
        </w:tc>
      </w:tr>
    </w:tbl>
    <w:p>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Arial" w:hAnsi="Arial" w:eastAsia="Arial" w:cs="Arial"/>
          <w:b/>
          <w:color w:val="auto"/>
          <w:sz w:val="20"/>
          <w:szCs w:val="20"/>
        </w:rPr>
      </w:pPr>
    </w:p>
    <w:p>
      <w:pPr>
        <w:spacing w:after="0" w:line="240" w:lineRule="auto"/>
        <w:jc w:val="both"/>
        <w:rPr>
          <w:rFonts w:hint="default" w:ascii="Arial" w:hAnsi="Arial" w:eastAsia="Arial" w:cs="Arial"/>
          <w:b/>
          <w:color w:val="auto"/>
          <w:sz w:val="20"/>
          <w:szCs w:val="20"/>
        </w:rPr>
      </w:pPr>
      <w:r>
        <w:rPr>
          <w:rFonts w:hint="default" w:ascii="Arial" w:hAnsi="Arial" w:eastAsia="Arial" w:cs="Arial"/>
          <w:b/>
          <w:color w:val="auto"/>
          <w:sz w:val="20"/>
          <w:szCs w:val="20"/>
        </w:rPr>
        <w:t>Linha de atuação</w:t>
      </w:r>
    </w:p>
    <w:p>
      <w:pPr>
        <w:spacing w:after="0" w:line="240" w:lineRule="auto"/>
        <w:jc w:val="both"/>
        <w:rPr>
          <w:rFonts w:hint="default" w:ascii="Arial" w:hAnsi="Arial" w:eastAsia="Arial" w:cs="Arial"/>
          <w:b/>
          <w:color w:val="auto"/>
          <w:sz w:val="20"/>
          <w:szCs w:val="20"/>
        </w:rPr>
      </w:pPr>
      <w:r>
        <w:rPr>
          <w:rFonts w:hint="default" w:ascii="Arial" w:hAnsi="Arial" w:eastAsia="Arial Unicode MS" w:cs="Arial"/>
          <w:b/>
          <w:color w:val="auto"/>
          <w:sz w:val="20"/>
          <w:szCs w:val="20"/>
        </w:rPr>
        <w:t>Identificar com ✓ uma ou mais linhas de atuação conforme</w:t>
      </w:r>
      <w:r>
        <w:rPr>
          <w:rFonts w:hint="default" w:ascii="Arial" w:hAnsi="Arial" w:cs="Arial"/>
          <w:color w:val="auto"/>
          <w:sz w:val="20"/>
          <w:szCs w:val="20"/>
        </w:rPr>
        <w:t xml:space="preserve"> </w:t>
      </w:r>
      <w:r>
        <w:rPr>
          <w:rFonts w:hint="default" w:ascii="Arial" w:hAnsi="Arial" w:eastAsia="Arial" w:cs="Arial"/>
          <w:b/>
          <w:color w:val="auto"/>
          <w:sz w:val="20"/>
          <w:szCs w:val="20"/>
        </w:rPr>
        <w:t xml:space="preserve">projeto pedagógico de curso. </w:t>
      </w:r>
    </w:p>
    <w:tbl>
      <w:tblPr>
        <w:tblStyle w:val="3"/>
        <w:tblW w:w="9450" w:type="dxa"/>
        <w:tblInd w:w="0" w:type="dxa"/>
        <w:tblLayout w:type="fixed"/>
        <w:tblCellMar>
          <w:top w:w="0" w:type="dxa"/>
          <w:left w:w="108" w:type="dxa"/>
          <w:bottom w:w="0" w:type="dxa"/>
          <w:right w:w="108" w:type="dxa"/>
        </w:tblCellMar>
      </w:tblPr>
      <w:tblGrid>
        <w:gridCol w:w="4530"/>
        <w:gridCol w:w="4920"/>
      </w:tblGrid>
      <w:tr>
        <w:tblPrEx>
          <w:tblCellMar>
            <w:top w:w="0" w:type="dxa"/>
            <w:left w:w="108" w:type="dxa"/>
            <w:bottom w:w="0" w:type="dxa"/>
            <w:right w:w="108" w:type="dxa"/>
          </w:tblCellMar>
        </w:tblPrEx>
        <w:tc>
          <w:tcPr>
            <w:tcW w:w="4530" w:type="dxa"/>
            <w:tcBorders>
              <w:top w:val="single" w:color="000000" w:sz="4" w:space="0"/>
              <w:left w:val="single" w:color="000000" w:sz="4" w:space="0"/>
              <w:bottom w:val="single" w:color="000000" w:sz="4" w:space="0"/>
            </w:tcBorders>
            <w:shd w:val="clear" w:color="auto" w:fill="auto"/>
          </w:tcPr>
          <w:p>
            <w:pPr>
              <w:pBdr>
                <w:top w:val="none" w:color="auto" w:sz="0" w:space="0"/>
                <w:left w:val="none" w:color="auto" w:sz="0" w:space="0"/>
                <w:bottom w:val="none" w:color="auto" w:sz="0" w:space="0"/>
                <w:right w:val="none" w:color="auto" w:sz="0" w:space="0"/>
                <w:between w:val="none" w:color="auto" w:sz="0" w:space="0"/>
              </w:pBdr>
              <w:spacing w:after="0" w:line="240" w:lineRule="auto"/>
              <w:ind w:left="360"/>
              <w:rPr>
                <w:rFonts w:hint="default" w:ascii="Arial" w:hAnsi="Arial" w:eastAsia="Arial" w:cs="Arial"/>
                <w:color w:val="auto"/>
                <w:sz w:val="20"/>
                <w:szCs w:val="20"/>
              </w:rPr>
            </w:pPr>
            <w:r>
              <w:rPr>
                <w:rFonts w:hint="default" w:ascii="Arial" w:hAnsi="Arial" w:eastAsia="Arial" w:cs="Arial"/>
                <w:color w:val="auto"/>
                <w:sz w:val="20"/>
                <w:szCs w:val="20"/>
              </w:rPr>
              <w:t xml:space="preserve">- Projeto Interdisciplinar: </w:t>
            </w:r>
          </w:p>
        </w:tc>
        <w:tc>
          <w:tcPr>
            <w:tcW w:w="4920" w:type="dxa"/>
            <w:tcBorders>
              <w:top w:val="single" w:color="000000" w:sz="4" w:space="0"/>
              <w:left w:val="single" w:color="000000" w:sz="4" w:space="0"/>
              <w:bottom w:val="single" w:color="000000" w:sz="4" w:space="0"/>
              <w:right w:val="single" w:color="000000" w:sz="4" w:space="0"/>
            </w:tcBorders>
            <w:shd w:val="clear" w:color="auto" w:fill="auto"/>
          </w:tcPr>
          <w:p>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auto"/>
                <w:sz w:val="20"/>
                <w:szCs w:val="20"/>
              </w:rPr>
            </w:pPr>
            <w:r>
              <w:rPr>
                <w:rFonts w:hint="default" w:ascii="Arial" w:hAnsi="Arial" w:eastAsia="Arial Unicode MS" w:cs="Arial"/>
                <w:b/>
                <w:color w:val="auto"/>
                <w:sz w:val="20"/>
                <w:szCs w:val="20"/>
              </w:rPr>
              <w:t xml:space="preserve">✓ </w:t>
            </w:r>
          </w:p>
        </w:tc>
      </w:tr>
    </w:tbl>
    <w:p>
      <w:pPr>
        <w:spacing w:after="0" w:line="240" w:lineRule="auto"/>
        <w:jc w:val="both"/>
        <w:rPr>
          <w:rFonts w:hint="default" w:ascii="Arial" w:hAnsi="Arial" w:eastAsia="Arial" w:cs="Arial"/>
          <w:color w:val="auto"/>
          <w:sz w:val="20"/>
          <w:szCs w:val="20"/>
        </w:rPr>
      </w:pPr>
    </w:p>
    <w:p>
      <w:pPr>
        <w:spacing w:after="0" w:line="240" w:lineRule="auto"/>
        <w:jc w:val="both"/>
        <w:rPr>
          <w:rFonts w:hint="default" w:ascii="Arial" w:hAnsi="Arial" w:eastAsia="Arial" w:cs="Arial"/>
          <w:b/>
          <w:color w:val="auto"/>
          <w:sz w:val="20"/>
          <w:szCs w:val="20"/>
        </w:rPr>
      </w:pPr>
      <w:r>
        <w:rPr>
          <w:rFonts w:hint="default" w:ascii="Arial" w:hAnsi="Arial" w:eastAsia="Arial" w:cs="Arial"/>
          <w:b/>
          <w:color w:val="auto"/>
          <w:sz w:val="20"/>
          <w:szCs w:val="20"/>
        </w:rPr>
        <w:t>Tipo de projeto</w:t>
      </w:r>
    </w:p>
    <w:p>
      <w:pPr>
        <w:spacing w:after="0" w:line="240" w:lineRule="auto"/>
        <w:jc w:val="both"/>
        <w:rPr>
          <w:rFonts w:hint="default" w:ascii="Arial" w:hAnsi="Arial" w:eastAsia="Arial" w:cs="Arial"/>
          <w:b/>
          <w:color w:val="auto"/>
          <w:sz w:val="20"/>
          <w:szCs w:val="20"/>
        </w:rPr>
      </w:pPr>
      <w:r>
        <w:rPr>
          <w:rFonts w:hint="default" w:ascii="Arial" w:hAnsi="Arial" w:eastAsia="Arial Unicode MS" w:cs="Arial"/>
          <w:b/>
          <w:color w:val="auto"/>
          <w:sz w:val="20"/>
          <w:szCs w:val="20"/>
        </w:rPr>
        <w:t xml:space="preserve">Identificar com ✓ o tipo de projeto. </w:t>
      </w:r>
    </w:p>
    <w:tbl>
      <w:tblPr>
        <w:tblStyle w:val="3"/>
        <w:tblW w:w="9450" w:type="dxa"/>
        <w:tblInd w:w="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45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9450" w:type="dxa"/>
          </w:tcPr>
          <w:p>
            <w:pPr>
              <w:numPr>
                <w:ilvl w:val="0"/>
                <w:numId w:val="1"/>
              </w:numPr>
              <w:shd w:val="clear" w:color="auto" w:fill="FFFFFF"/>
              <w:spacing w:after="0" w:line="240" w:lineRule="auto"/>
              <w:rPr>
                <w:rFonts w:hint="default" w:ascii="Arial" w:hAnsi="Arial" w:eastAsia="Arial" w:cs="Arial"/>
                <w:color w:val="auto"/>
                <w:sz w:val="20"/>
                <w:szCs w:val="20"/>
              </w:rPr>
            </w:pPr>
            <w:r>
              <w:rPr>
                <w:rFonts w:hint="default" w:ascii="Arial" w:hAnsi="Arial" w:eastAsia="Arial" w:cs="Arial"/>
                <w:color w:val="auto"/>
                <w:sz w:val="20"/>
                <w:szCs w:val="20"/>
              </w:rPr>
              <w:t>Atividade de Extensão não implementado na prática (proposta de intervenção)</w:t>
            </w:r>
            <w:r>
              <w:rPr>
                <w:rFonts w:hint="default" w:ascii="Arial" w:hAnsi="Arial" w:eastAsia="Arial" w:cs="Arial"/>
                <w:color w:val="auto"/>
                <w:sz w:val="20"/>
                <w:szCs w:val="20"/>
                <w:lang w:val="pt-BR"/>
              </w:rPr>
              <w:t xml:space="preserve"> </w:t>
            </w:r>
            <w:r>
              <w:rPr>
                <w:rFonts w:hint="default" w:ascii="Arial" w:hAnsi="Arial" w:eastAsia="Arial Unicode MS" w:cs="Arial"/>
                <w:b/>
                <w:color w:val="auto"/>
                <w:sz w:val="20"/>
                <w:szCs w:val="20"/>
              </w:rPr>
              <w:t xml:space="preserve">✓ </w:t>
            </w:r>
          </w:p>
          <w:p>
            <w:pPr>
              <w:numPr>
                <w:ilvl w:val="0"/>
                <w:numId w:val="1"/>
              </w:numPr>
              <w:shd w:val="clear" w:color="auto" w:fill="FFFFFF"/>
              <w:spacing w:after="0" w:line="240" w:lineRule="auto"/>
              <w:rPr>
                <w:rFonts w:hint="default" w:ascii="Arial" w:hAnsi="Arial" w:eastAsia="Arial" w:cs="Arial"/>
                <w:color w:val="auto"/>
                <w:sz w:val="20"/>
                <w:szCs w:val="20"/>
              </w:rPr>
            </w:pPr>
            <w:r>
              <w:rPr>
                <w:rFonts w:hint="default" w:ascii="Arial" w:hAnsi="Arial" w:eastAsia="Arial" w:cs="Arial"/>
                <w:color w:val="auto"/>
                <w:sz w:val="20"/>
                <w:szCs w:val="20"/>
              </w:rPr>
              <w:t>Atividade de Extensão implementado na prática (intervenção executada)</w:t>
            </w:r>
          </w:p>
        </w:tc>
      </w:tr>
    </w:tbl>
    <w:p>
      <w:pPr>
        <w:spacing w:before="240" w:after="0" w:line="240" w:lineRule="auto"/>
        <w:jc w:val="both"/>
        <w:rPr>
          <w:rFonts w:hint="default" w:ascii="Arial" w:hAnsi="Arial" w:eastAsia="Arial" w:cs="Arial"/>
          <w:b/>
          <w:color w:val="auto"/>
          <w:sz w:val="20"/>
          <w:szCs w:val="20"/>
        </w:rPr>
      </w:pPr>
      <w:r>
        <w:rPr>
          <w:rFonts w:hint="default" w:ascii="Arial" w:hAnsi="Arial" w:eastAsia="Arial" w:cs="Arial"/>
          <w:b/>
          <w:color w:val="auto"/>
          <w:sz w:val="20"/>
          <w:szCs w:val="20"/>
        </w:rPr>
        <w:t>Tema gerador</w:t>
      </w:r>
    </w:p>
    <w:tbl>
      <w:tblPr>
        <w:tblStyle w:val="3"/>
        <w:tblW w:w="935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935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355" w:type="dxa"/>
            <w:shd w:val="clear" w:color="auto" w:fill="auto"/>
            <w:tcMar>
              <w:top w:w="100" w:type="dxa"/>
              <w:left w:w="100" w:type="dxa"/>
              <w:bottom w:w="100" w:type="dxa"/>
              <w:right w:w="100" w:type="dxa"/>
            </w:tcMar>
          </w:tcPr>
          <w:p>
            <w:pPr>
              <w:keepNext w:val="0"/>
              <w:keepLines w:val="0"/>
              <w:widowControl/>
              <w:suppressLineNumbers w:val="0"/>
              <w:jc w:val="left"/>
              <w:rPr>
                <w:rFonts w:hint="default" w:ascii="Arial" w:hAnsi="Arial" w:eastAsia="SimSun" w:cs="Arial"/>
                <w:kern w:val="0"/>
                <w:sz w:val="20"/>
                <w:szCs w:val="20"/>
                <w:lang w:val="en-US" w:eastAsia="zh-CN" w:bidi="ar"/>
              </w:rPr>
            </w:pPr>
            <w:r>
              <w:rPr>
                <w:rFonts w:hint="default" w:ascii="Arial" w:hAnsi="Arial" w:eastAsia="SimSun" w:cs="Arial"/>
                <w:kern w:val="0"/>
                <w:sz w:val="20"/>
                <w:szCs w:val="20"/>
                <w:lang w:val="en-US" w:eastAsia="zh-CN" w:bidi="ar"/>
              </w:rPr>
              <w:t>Tecnologia e Inovação aplicadas ao desenvolvimento de soluções digitais para o setor de foodservice, com foco em ciência de dados, usabilidade e tomada de decisão baseada em evidências. Alinhado à ODS 8 (Trabalho Decente e Crescimento Econômico) e ODS 9 (Indústria, Inovação e Infraestrutura).</w:t>
            </w:r>
          </w:p>
        </w:tc>
      </w:tr>
    </w:tbl>
    <w:p>
      <w:pPr>
        <w:spacing w:before="240" w:after="0"/>
        <w:jc w:val="both"/>
        <w:rPr>
          <w:rFonts w:hint="default" w:ascii="Arial" w:hAnsi="Arial" w:eastAsia="Arial" w:cs="Arial"/>
          <w:b/>
          <w:color w:val="auto"/>
          <w:sz w:val="20"/>
          <w:szCs w:val="20"/>
        </w:rPr>
      </w:pPr>
      <w:r>
        <w:rPr>
          <w:rFonts w:hint="default" w:ascii="Arial" w:hAnsi="Arial" w:eastAsia="Arial" w:cs="Arial"/>
          <w:b/>
          <w:color w:val="auto"/>
          <w:sz w:val="20"/>
          <w:szCs w:val="20"/>
        </w:rPr>
        <w:t xml:space="preserve"> Produto decorrente do projeto (opcional dependendo do tipo de projeto)</w:t>
      </w:r>
    </w:p>
    <w:tbl>
      <w:tblPr>
        <w:tblStyle w:val="3"/>
        <w:tblW w:w="9465" w:type="dxa"/>
        <w:tblInd w:w="4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46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9465" w:type="dxa"/>
          </w:tcPr>
          <w:p>
            <w:pPr>
              <w:shd w:val="clear" w:color="auto" w:fill="FFFFFF"/>
              <w:rPr>
                <w:rFonts w:hint="default" w:ascii="Arial" w:hAnsi="Arial" w:eastAsia="Arial" w:cs="Arial"/>
                <w:b/>
                <w:color w:val="auto"/>
                <w:sz w:val="20"/>
                <w:szCs w:val="20"/>
              </w:rPr>
            </w:pPr>
            <w:r>
              <w:rPr>
                <w:rFonts w:hint="default" w:ascii="Arial" w:hAnsi="Arial" w:eastAsia="SimSun" w:cs="Arial"/>
                <w:kern w:val="0"/>
                <w:sz w:val="20"/>
                <w:szCs w:val="20"/>
                <w:lang w:val="en-US" w:eastAsia="zh-CN" w:bidi="ar"/>
              </w:rPr>
              <w:t>Dashboard web interativo com painéis de indicadores estratégicos e operacionais, desenvolvido para a startup Cannoli Foodtech. O produto contempla visualizações de KPIs de vendas, engajamento, fidelização e finanças, módulo de análise inferencial, alertas automáticos e exportação de relatórios. O sistema será versionado no GitHub e publicado em ambiente de nuvem.</w:t>
            </w:r>
          </w:p>
        </w:tc>
      </w:tr>
    </w:tbl>
    <w:p>
      <w:pPr>
        <w:spacing w:after="0" w:line="240" w:lineRule="auto"/>
        <w:rPr>
          <w:rFonts w:hint="default" w:ascii="Arial" w:hAnsi="Arial" w:eastAsia="Arial" w:cs="Arial"/>
          <w:b/>
          <w:color w:val="auto"/>
          <w:sz w:val="20"/>
          <w:szCs w:val="20"/>
        </w:rPr>
      </w:pPr>
    </w:p>
    <w:p>
      <w:pPr>
        <w:spacing w:after="0" w:line="240" w:lineRule="auto"/>
        <w:rPr>
          <w:rFonts w:hint="default" w:ascii="Arial" w:hAnsi="Arial" w:eastAsia="Arial" w:cs="Arial"/>
          <w:b/>
          <w:color w:val="auto"/>
          <w:sz w:val="20"/>
          <w:szCs w:val="20"/>
        </w:rPr>
      </w:pPr>
      <w:r>
        <w:rPr>
          <w:rFonts w:hint="default" w:ascii="Arial" w:hAnsi="Arial" w:eastAsia="Arial" w:cs="Arial"/>
          <w:b/>
          <w:color w:val="auto"/>
          <w:sz w:val="20"/>
          <w:szCs w:val="20"/>
        </w:rPr>
        <w:t>2. IDENTIFICAÇÃO DO CENÁRIO DE INTERVENÇÃO E HIPÓTESES DE SOLUÇÃO</w:t>
      </w:r>
    </w:p>
    <w:p>
      <w:pPr>
        <w:spacing w:after="0" w:line="240" w:lineRule="auto"/>
        <w:rPr>
          <w:rFonts w:hint="default" w:ascii="Arial" w:hAnsi="Arial" w:eastAsia="Arial" w:cs="Arial"/>
          <w:b/>
          <w:color w:val="auto"/>
          <w:sz w:val="20"/>
          <w:szCs w:val="20"/>
        </w:rPr>
      </w:pPr>
      <w:r>
        <w:rPr>
          <w:rFonts w:hint="default" w:ascii="Arial" w:hAnsi="Arial" w:eastAsia="Arial" w:cs="Arial"/>
          <w:b/>
          <w:color w:val="auto"/>
          <w:sz w:val="20"/>
          <w:szCs w:val="20"/>
        </w:rPr>
        <w:t>Local (cenário) previsto para a implementação do projeto</w:t>
      </w:r>
    </w:p>
    <w:tbl>
      <w:tblPr>
        <w:tblStyle w:val="3"/>
        <w:tblW w:w="9300" w:type="dxa"/>
        <w:tblInd w:w="0" w:type="dxa"/>
        <w:tblLayout w:type="fixed"/>
        <w:tblCellMar>
          <w:top w:w="0" w:type="dxa"/>
          <w:left w:w="108" w:type="dxa"/>
          <w:bottom w:w="0" w:type="dxa"/>
          <w:right w:w="108" w:type="dxa"/>
        </w:tblCellMar>
      </w:tblPr>
      <w:tblGrid>
        <w:gridCol w:w="9300"/>
      </w:tblGrid>
      <w:tr>
        <w:tblPrEx>
          <w:tblCellMar>
            <w:top w:w="0" w:type="dxa"/>
            <w:left w:w="108" w:type="dxa"/>
            <w:bottom w:w="0" w:type="dxa"/>
            <w:right w:w="108" w:type="dxa"/>
          </w:tblCellMar>
        </w:tblPrEx>
        <w:tc>
          <w:tcPr>
            <w:tcW w:w="9300" w:type="dxa"/>
            <w:tcBorders>
              <w:top w:val="single" w:color="000000" w:sz="4" w:space="0"/>
              <w:left w:val="single" w:color="000000" w:sz="4" w:space="0"/>
              <w:bottom w:val="single" w:color="000000" w:sz="4" w:space="0"/>
              <w:right w:val="single" w:color="000000" w:sz="4" w:space="0"/>
            </w:tcBorders>
            <w:shd w:val="clear" w:color="auto" w:fill="auto"/>
          </w:tcPr>
          <w:p>
            <w:pPr>
              <w:keepNext w:val="0"/>
              <w:keepLines w:val="0"/>
              <w:widowControl/>
              <w:suppressLineNumbers w:val="0"/>
              <w:jc w:val="left"/>
              <w:rPr>
                <w:rFonts w:hint="default" w:ascii="Arial" w:hAnsi="Arial" w:cs="Arial"/>
                <w:sz w:val="20"/>
                <w:szCs w:val="20"/>
              </w:rPr>
            </w:pPr>
            <w:r>
              <w:rPr>
                <w:rStyle w:val="9"/>
                <w:rFonts w:hint="default" w:ascii="Arial" w:hAnsi="Arial" w:eastAsia="SimSun" w:cs="Arial"/>
                <w:kern w:val="0"/>
                <w:sz w:val="20"/>
                <w:szCs w:val="20"/>
                <w:lang w:val="en-US" w:eastAsia="zh-CN" w:bidi="ar"/>
              </w:rPr>
              <w:t>Local (cenário) previsto para a implementação do projeto</w:t>
            </w:r>
            <w:r>
              <w:rPr>
                <w:rFonts w:hint="default" w:ascii="Arial" w:hAnsi="Arial" w:eastAsia="SimSun" w:cs="Arial"/>
                <w:kern w:val="0"/>
                <w:sz w:val="20"/>
                <w:szCs w:val="20"/>
                <w:lang w:val="en-US" w:eastAsia="zh-CN" w:bidi="ar"/>
              </w:rPr>
              <w:t xml:space="preserve"> A intervenção está prevista para ser implementada na Cannoli, uma startup do setor de foodtech com atuação no mercado brasileiro de foodservice. A empresa oferece uma plataforma que integra CRM, automação de engajamento, cardápio digital e delivery próprio para restaurantes parceiros. O ambiente de implementação é digital, com acesso via navegador web para dois perfis de usuário: administradores da Cannoli e gestores de restaurantes parceiros. A infraestrutura prevista envolve servidores em nuvem, banco de dados relacional e pipeline de dados automatizado.</w:t>
            </w:r>
          </w:p>
          <w:p>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Arial" w:hAnsi="Arial" w:eastAsia="Arial" w:cs="Arial"/>
                <w:color w:val="auto"/>
                <w:sz w:val="20"/>
                <w:szCs w:val="20"/>
              </w:rPr>
            </w:pPr>
          </w:p>
        </w:tc>
      </w:tr>
    </w:tbl>
    <w:p>
      <w:pPr>
        <w:spacing w:after="0" w:line="240" w:lineRule="auto"/>
        <w:rPr>
          <w:rFonts w:hint="default" w:ascii="Arial" w:hAnsi="Arial" w:eastAsia="Arial" w:cs="Arial"/>
          <w:b/>
          <w:color w:val="auto"/>
          <w:sz w:val="20"/>
          <w:szCs w:val="20"/>
        </w:rPr>
      </w:pPr>
    </w:p>
    <w:p>
      <w:pPr>
        <w:spacing w:after="0" w:line="240" w:lineRule="auto"/>
        <w:rPr>
          <w:rFonts w:hint="default" w:ascii="Arial" w:hAnsi="Arial" w:eastAsia="Arial" w:cs="Arial"/>
          <w:b/>
          <w:color w:val="auto"/>
          <w:sz w:val="20"/>
          <w:szCs w:val="20"/>
        </w:rPr>
      </w:pPr>
      <w:r>
        <w:rPr>
          <w:rFonts w:hint="default" w:ascii="Arial" w:hAnsi="Arial" w:eastAsia="Arial" w:cs="Arial"/>
          <w:b/>
          <w:color w:val="auto"/>
          <w:sz w:val="20"/>
          <w:szCs w:val="20"/>
        </w:rPr>
        <w:t>Público-alvo a ser atendido pelo projeto</w:t>
      </w:r>
    </w:p>
    <w:tbl>
      <w:tblPr>
        <w:tblStyle w:val="3"/>
        <w:tblW w:w="9300" w:type="dxa"/>
        <w:tblInd w:w="0" w:type="dxa"/>
        <w:tblLayout w:type="fixed"/>
        <w:tblCellMar>
          <w:top w:w="0" w:type="dxa"/>
          <w:left w:w="108" w:type="dxa"/>
          <w:bottom w:w="0" w:type="dxa"/>
          <w:right w:w="108" w:type="dxa"/>
        </w:tblCellMar>
      </w:tblPr>
      <w:tblGrid>
        <w:gridCol w:w="9300"/>
      </w:tblGrid>
      <w:tr>
        <w:tc>
          <w:tcPr>
            <w:tcW w:w="9300" w:type="dxa"/>
            <w:tcBorders>
              <w:top w:val="single" w:color="000000" w:sz="4" w:space="0"/>
              <w:left w:val="single" w:color="000000" w:sz="4" w:space="0"/>
              <w:bottom w:val="single" w:color="000000" w:sz="4" w:space="0"/>
              <w:right w:val="single" w:color="000000" w:sz="4" w:space="0"/>
            </w:tcBorders>
            <w:shd w:val="clear" w:color="auto" w:fill="auto"/>
          </w:tcPr>
          <w:p>
            <w:pPr>
              <w:pStyle w:val="8"/>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O público-alvo é composto por dois grupos principais:</w:t>
            </w:r>
          </w:p>
          <w:p>
            <w:pPr>
              <w:keepNext w:val="0"/>
              <w:keepLines w:val="0"/>
              <w:widowControl/>
              <w:numPr>
                <w:ilvl w:val="0"/>
                <w:numId w:val="2"/>
              </w:numPr>
              <w:suppressLineNumbers w:val="0"/>
              <w:spacing w:before="0" w:beforeAutospacing="1" w:after="0" w:afterAutospacing="1"/>
              <w:ind w:left="720" w:hanging="360"/>
              <w:rPr>
                <w:rFonts w:hint="default" w:ascii="Arial" w:hAnsi="Arial" w:cs="Arial"/>
                <w:sz w:val="20"/>
                <w:szCs w:val="20"/>
              </w:rPr>
            </w:pPr>
            <w:r>
              <w:rPr>
                <w:rStyle w:val="9"/>
                <w:rFonts w:hint="default" w:ascii="Arial" w:hAnsi="Arial" w:cs="Arial"/>
                <w:sz w:val="20"/>
                <w:szCs w:val="20"/>
              </w:rPr>
              <w:t>Administradores da Cannoli:</w:t>
            </w:r>
            <w:r>
              <w:rPr>
                <w:rFonts w:hint="default" w:ascii="Arial" w:hAnsi="Arial" w:cs="Arial"/>
                <w:sz w:val="20"/>
                <w:szCs w:val="20"/>
              </w:rPr>
              <w:t xml:space="preserve"> profissionais responsáveis pela gestão estratégica da plataforma, que necessitam de visão consolidada de desempenho, engajamento de clientes e eficiência das campanhas realizadas pelos restaurantes parceiros.</w:t>
            </w:r>
          </w:p>
          <w:p>
            <w:pPr>
              <w:keepNext w:val="0"/>
              <w:keepLines w:val="0"/>
              <w:widowControl/>
              <w:numPr>
                <w:ilvl w:val="0"/>
                <w:numId w:val="2"/>
              </w:numPr>
              <w:suppressLineNumbers w:val="0"/>
              <w:spacing w:before="0" w:beforeAutospacing="1" w:after="0" w:afterAutospacing="1"/>
              <w:ind w:left="720" w:hanging="360"/>
              <w:rPr>
                <w:rFonts w:hint="default" w:ascii="Arial" w:hAnsi="Arial" w:cs="Arial"/>
                <w:sz w:val="20"/>
                <w:szCs w:val="20"/>
              </w:rPr>
            </w:pPr>
            <w:r>
              <w:rPr>
                <w:rStyle w:val="9"/>
                <w:rFonts w:hint="default" w:ascii="Arial" w:hAnsi="Arial" w:cs="Arial"/>
                <w:sz w:val="20"/>
                <w:szCs w:val="20"/>
              </w:rPr>
              <w:t>Gestores de restaurantes parceiros:</w:t>
            </w:r>
            <w:r>
              <w:rPr>
                <w:rFonts w:hint="default" w:ascii="Arial" w:hAnsi="Arial" w:cs="Arial"/>
                <w:sz w:val="20"/>
                <w:szCs w:val="20"/>
              </w:rPr>
              <w:t xml:space="preserve"> empreendedores e administradores de estabelecimentos de pequeno e médio porte do setor de alimentação, que utilizam a plataforma Cannoli para se conectar com seus clientes. Em geral, possuem acesso limitado a ferramentas analíticas e tomam decisões com base em percepções informais, sem apoio de dados estruturados.</w:t>
            </w:r>
          </w:p>
          <w:p>
            <w:pPr>
              <w:pStyle w:val="8"/>
              <w:keepNext w:val="0"/>
              <w:keepLines w:val="0"/>
              <w:widowControl/>
              <w:suppressLineNumbers w:val="0"/>
              <w:spacing w:before="0" w:beforeAutospacing="1" w:after="0" w:afterAutospacing="1"/>
              <w:ind w:left="0" w:right="0"/>
              <w:rPr>
                <w:rFonts w:hint="default" w:ascii="Arial" w:hAnsi="Arial" w:eastAsia="Arial" w:cs="Arial"/>
                <w:color w:val="auto"/>
                <w:sz w:val="20"/>
                <w:szCs w:val="20"/>
              </w:rPr>
            </w:pPr>
            <w:r>
              <w:rPr>
                <w:rFonts w:hint="default" w:ascii="Arial" w:hAnsi="Arial" w:cs="Arial"/>
                <w:sz w:val="20"/>
                <w:szCs w:val="20"/>
              </w:rPr>
              <w:t>Ambos os grupos se beneficiam de uma solução acessível, visual e intuitiva que traduza dados operacionais em informações acionáveis.</w:t>
            </w:r>
          </w:p>
        </w:tc>
      </w:tr>
    </w:tbl>
    <w:p>
      <w:pPr>
        <w:spacing w:after="0" w:line="240" w:lineRule="auto"/>
        <w:rPr>
          <w:rFonts w:hint="default" w:ascii="Arial" w:hAnsi="Arial" w:eastAsia="Arial" w:cs="Arial"/>
          <w:b/>
          <w:color w:val="auto"/>
          <w:sz w:val="20"/>
          <w:szCs w:val="20"/>
        </w:rPr>
      </w:pPr>
    </w:p>
    <w:p>
      <w:pPr>
        <w:spacing w:after="0" w:line="240" w:lineRule="auto"/>
        <w:rPr>
          <w:rFonts w:hint="default" w:ascii="Arial" w:hAnsi="Arial" w:eastAsia="Arial" w:cs="Arial"/>
          <w:b/>
          <w:color w:val="auto"/>
          <w:sz w:val="20"/>
          <w:szCs w:val="20"/>
        </w:rPr>
      </w:pPr>
      <w:r>
        <w:rPr>
          <w:rFonts w:hint="default" w:ascii="Arial" w:hAnsi="Arial" w:eastAsia="Arial" w:cs="Arial"/>
          <w:b/>
          <w:color w:val="auto"/>
          <w:sz w:val="20"/>
          <w:szCs w:val="20"/>
        </w:rPr>
        <w:t>Apresentação do(s) problema(s) observado(s) e delimitação do objeto de estudo e intervenção</w:t>
      </w:r>
    </w:p>
    <w:tbl>
      <w:tblPr>
        <w:tblStyle w:val="3"/>
        <w:tblW w:w="9300" w:type="dxa"/>
        <w:tblInd w:w="0" w:type="dxa"/>
        <w:tblLayout w:type="fixed"/>
        <w:tblCellMar>
          <w:top w:w="0" w:type="dxa"/>
          <w:left w:w="108" w:type="dxa"/>
          <w:bottom w:w="0" w:type="dxa"/>
          <w:right w:w="108" w:type="dxa"/>
        </w:tblCellMar>
      </w:tblPr>
      <w:tblGrid>
        <w:gridCol w:w="9300"/>
      </w:tblGrid>
      <w:tr>
        <w:tc>
          <w:tcPr>
            <w:tcW w:w="9300" w:type="dxa"/>
            <w:tcBorders>
              <w:top w:val="single" w:color="000000" w:sz="4" w:space="0"/>
              <w:left w:val="single" w:color="000000" w:sz="4" w:space="0"/>
              <w:bottom w:val="single" w:color="000000" w:sz="4" w:space="0"/>
              <w:right w:val="single" w:color="000000" w:sz="4" w:space="0"/>
            </w:tcBorders>
            <w:shd w:val="clear" w:color="auto" w:fill="auto"/>
          </w:tcPr>
          <w:p>
            <w:pPr>
              <w:pStyle w:val="8"/>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O setor de foodservice enfrenta alta competitividade e elevadas taxas de rotatividade de clientes. Restaurantes parceiros da Cannoli frequentemente não dispõem de meios eficientes para monitorar indicadores como taxa de recompra, ticket médio, efetividade de campanhas e faturamento em tempo real. Sem acesso a essas informações de forma consolidada e visual, decisões gerenciais acabam sendo tomadas de forma intuitiva, o que aumenta o risco de desperdício de recursos em campanhas pouco efetivas, perda de clientes recorrentes e queda de receita sem identificação precoce da causa.</w:t>
            </w:r>
          </w:p>
          <w:p>
            <w:pPr>
              <w:pStyle w:val="8"/>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Paralelamente, a Cannoli, enquanto plataforma, carece de um painel centralizado que permita aos seus administradores monitorar a saúde da operação de múltiplos restaurantes simultaneamente, identificar tendências e agir proativamente.</w:t>
            </w:r>
          </w:p>
          <w:p>
            <w:pPr>
              <w:pStyle w:val="8"/>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O objeto de intervenção é, portanto, a ausência de uma ferramenta analítica integrada que conecte dados de pedidos, campanhas, clientes e finanças em um painel de fácil interpretação, com atualização periódica e suporte à decisão baseada em evidências.</w:t>
            </w:r>
          </w:p>
          <w:p>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Arial" w:hAnsi="Arial" w:eastAsia="Arial" w:cs="Arial"/>
                <w:color w:val="auto"/>
                <w:sz w:val="20"/>
                <w:szCs w:val="20"/>
              </w:rPr>
            </w:pPr>
          </w:p>
        </w:tc>
      </w:tr>
    </w:tbl>
    <w:p>
      <w:pPr>
        <w:spacing w:after="0" w:line="240" w:lineRule="auto"/>
        <w:rPr>
          <w:rFonts w:hint="default" w:ascii="Arial" w:hAnsi="Arial" w:eastAsia="Arial" w:cs="Arial"/>
          <w:b/>
          <w:color w:val="auto"/>
          <w:sz w:val="20"/>
          <w:szCs w:val="20"/>
        </w:rPr>
      </w:pPr>
    </w:p>
    <w:p>
      <w:pPr>
        <w:spacing w:after="0" w:line="240" w:lineRule="auto"/>
        <w:rPr>
          <w:rFonts w:hint="default" w:ascii="Arial" w:hAnsi="Arial" w:eastAsia="Arial" w:cs="Arial"/>
          <w:b/>
          <w:color w:val="auto"/>
          <w:sz w:val="20"/>
          <w:szCs w:val="20"/>
        </w:rPr>
      </w:pPr>
      <w:r>
        <w:rPr>
          <w:rFonts w:hint="default" w:ascii="Arial" w:hAnsi="Arial" w:eastAsia="Arial" w:cs="Arial"/>
          <w:b/>
          <w:color w:val="auto"/>
          <w:sz w:val="20"/>
          <w:szCs w:val="20"/>
        </w:rPr>
        <w:t>Definição de hipóteses para a solução do problema observado</w:t>
      </w:r>
    </w:p>
    <w:tbl>
      <w:tblPr>
        <w:tblStyle w:val="3"/>
        <w:tblW w:w="9300" w:type="dxa"/>
        <w:tblInd w:w="0" w:type="dxa"/>
        <w:tblLayout w:type="fixed"/>
        <w:tblCellMar>
          <w:top w:w="0" w:type="dxa"/>
          <w:left w:w="108" w:type="dxa"/>
          <w:bottom w:w="0" w:type="dxa"/>
          <w:right w:w="108" w:type="dxa"/>
        </w:tblCellMar>
      </w:tblPr>
      <w:tblGrid>
        <w:gridCol w:w="9300"/>
      </w:tblGrid>
      <w:tr>
        <w:tblPrEx>
          <w:tblCellMar>
            <w:top w:w="0" w:type="dxa"/>
            <w:left w:w="108" w:type="dxa"/>
            <w:bottom w:w="0" w:type="dxa"/>
            <w:right w:w="108" w:type="dxa"/>
          </w:tblCellMar>
        </w:tblPrEx>
        <w:tc>
          <w:tcPr>
            <w:tcW w:w="9300" w:type="dxa"/>
            <w:tcBorders>
              <w:top w:val="single" w:color="000000" w:sz="4" w:space="0"/>
              <w:left w:val="single" w:color="000000" w:sz="4" w:space="0"/>
              <w:bottom w:val="single" w:color="000000" w:sz="4" w:space="0"/>
              <w:right w:val="single" w:color="000000" w:sz="4" w:space="0"/>
            </w:tcBorders>
            <w:shd w:val="clear" w:color="auto" w:fill="auto"/>
          </w:tcPr>
          <w:p>
            <w:pPr>
              <w:pStyle w:val="8"/>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lang w:val="pt-BR"/>
              </w:rPr>
              <w:t>A</w:t>
            </w:r>
            <w:r>
              <w:rPr>
                <w:rFonts w:hint="default" w:ascii="Arial" w:hAnsi="Arial" w:cs="Arial"/>
                <w:sz w:val="20"/>
                <w:szCs w:val="20"/>
              </w:rPr>
              <w:t>pós análise do problema, foram levantadas as seguintes hipóteses de solução:</w:t>
            </w:r>
          </w:p>
          <w:p>
            <w:pPr>
              <w:keepNext w:val="0"/>
              <w:keepLines w:val="0"/>
              <w:widowControl/>
              <w:numPr>
                <w:ilvl w:val="0"/>
                <w:numId w:val="3"/>
              </w:numPr>
              <w:suppressLineNumbers w:val="0"/>
              <w:spacing w:before="0" w:beforeAutospacing="1" w:after="0" w:afterAutospacing="1"/>
              <w:ind w:left="720" w:hanging="360"/>
              <w:rPr>
                <w:rFonts w:hint="default" w:ascii="Arial" w:hAnsi="Arial" w:cs="Arial"/>
                <w:sz w:val="20"/>
                <w:szCs w:val="20"/>
              </w:rPr>
            </w:pPr>
            <w:r>
              <w:rPr>
                <w:rStyle w:val="9"/>
                <w:rFonts w:hint="default" w:ascii="Arial" w:hAnsi="Arial" w:cs="Arial"/>
                <w:sz w:val="20"/>
                <w:szCs w:val="20"/>
              </w:rPr>
              <w:t>Desenvolvimento de um dashboard web sob medida</w:t>
            </w:r>
            <w:r>
              <w:rPr>
                <w:rFonts w:hint="default" w:ascii="Arial" w:hAnsi="Arial" w:cs="Arial"/>
                <w:sz w:val="20"/>
                <w:szCs w:val="20"/>
              </w:rPr>
              <w:t xml:space="preserve"> com KPIs específicos para o contexto do foodservice, integrado à base de dados da Cannoli, com perfis diferenciados por tipo de usuário — hipótese selecionada como a mais adequada por ser tecnicamente viável, escalável e diretamente alinhada às necessidades identificadas.</w:t>
            </w:r>
          </w:p>
          <w:p>
            <w:pPr>
              <w:keepNext w:val="0"/>
              <w:keepLines w:val="0"/>
              <w:widowControl/>
              <w:numPr>
                <w:ilvl w:val="0"/>
                <w:numId w:val="3"/>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Adoção de uma planilha compartilhada com atualizações manuais — descartada pela falta de automação, escalabilidade limitada e alto risco de erro humano.</w:t>
            </w:r>
          </w:p>
          <w:p>
            <w:pPr>
              <w:keepNext w:val="0"/>
              <w:keepLines w:val="0"/>
              <w:widowControl/>
              <w:numPr>
                <w:ilvl w:val="0"/>
                <w:numId w:val="3"/>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Contratação de uma ferramenta de BI de mercado (ex.: Power BI, Tableau) — descartada pelo custo, pela necessidade de customização elevada e pela baixa aderência ao perfil tecnológico da startup.</w:t>
            </w:r>
          </w:p>
          <w:p>
            <w:pPr>
              <w:pStyle w:val="8"/>
              <w:keepNext w:val="0"/>
              <w:keepLines w:val="0"/>
              <w:widowControl/>
              <w:suppressLineNumbers w:val="0"/>
              <w:spacing w:before="0" w:beforeAutospacing="1" w:after="0" w:afterAutospacing="1"/>
              <w:ind w:left="0" w:right="0"/>
              <w:rPr>
                <w:rFonts w:hint="default" w:ascii="Arial" w:hAnsi="Arial" w:eastAsia="Arial" w:cs="Arial"/>
                <w:color w:val="auto"/>
                <w:sz w:val="20"/>
                <w:szCs w:val="20"/>
              </w:rPr>
            </w:pPr>
            <w:r>
              <w:rPr>
                <w:rFonts w:hint="default" w:ascii="Arial" w:hAnsi="Arial" w:cs="Arial"/>
                <w:sz w:val="20"/>
                <w:szCs w:val="20"/>
              </w:rPr>
              <w:t>A hipótese selecionada prevê um sistema web desenvolvido com boas práticas de engenharia de software, ciência de dados e usabilidade, capaz de ser evoluído conforme o crescimento da Cannoli.</w:t>
            </w:r>
          </w:p>
        </w:tc>
      </w:tr>
    </w:tbl>
    <w:p>
      <w:pPr>
        <w:spacing w:after="0" w:line="240" w:lineRule="auto"/>
        <w:rPr>
          <w:rFonts w:hint="default" w:ascii="Arial" w:hAnsi="Arial" w:eastAsia="Arial" w:cs="Arial"/>
          <w:b/>
          <w:color w:val="auto"/>
          <w:sz w:val="20"/>
          <w:szCs w:val="20"/>
        </w:rPr>
      </w:pPr>
    </w:p>
    <w:p>
      <w:pPr>
        <w:spacing w:after="0" w:line="240" w:lineRule="auto"/>
        <w:rPr>
          <w:rFonts w:hint="default" w:ascii="Arial" w:hAnsi="Arial" w:eastAsia="Arial" w:cs="Arial"/>
          <w:b/>
          <w:color w:val="auto"/>
          <w:sz w:val="20"/>
          <w:szCs w:val="20"/>
        </w:rPr>
      </w:pPr>
    </w:p>
    <w:p>
      <w:pPr>
        <w:spacing w:after="0" w:line="240" w:lineRule="auto"/>
        <w:rPr>
          <w:rFonts w:hint="default" w:ascii="Arial" w:hAnsi="Arial" w:eastAsia="Arial" w:cs="Arial"/>
          <w:b/>
          <w:color w:val="auto"/>
          <w:sz w:val="20"/>
          <w:szCs w:val="20"/>
        </w:rPr>
      </w:pPr>
    </w:p>
    <w:p>
      <w:pPr>
        <w:spacing w:after="0" w:line="240" w:lineRule="auto"/>
        <w:rPr>
          <w:rFonts w:hint="default" w:ascii="Arial" w:hAnsi="Arial" w:eastAsia="Arial" w:cs="Arial"/>
          <w:color w:val="auto"/>
          <w:sz w:val="20"/>
          <w:szCs w:val="20"/>
        </w:rPr>
      </w:pPr>
      <w:r>
        <w:rPr>
          <w:rFonts w:hint="default" w:ascii="Arial" w:hAnsi="Arial" w:eastAsia="Arial" w:cs="Arial"/>
          <w:b/>
          <w:color w:val="auto"/>
          <w:sz w:val="20"/>
          <w:szCs w:val="20"/>
        </w:rPr>
        <w:t>3 DESCRIÇÃO DO PROJETO</w:t>
      </w:r>
    </w:p>
    <w:p>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Arial" w:hAnsi="Arial" w:eastAsia="Arial" w:cs="Arial"/>
          <w:b/>
          <w:color w:val="auto"/>
          <w:sz w:val="20"/>
          <w:szCs w:val="20"/>
        </w:rPr>
      </w:pPr>
      <w:r>
        <w:rPr>
          <w:rFonts w:hint="default" w:ascii="Arial" w:hAnsi="Arial" w:eastAsia="Arial" w:cs="Arial"/>
          <w:b/>
          <w:color w:val="auto"/>
          <w:sz w:val="20"/>
          <w:szCs w:val="20"/>
        </w:rPr>
        <w:t xml:space="preserve">É importante destacar que um projeto de extensão não precisa ser necessariamente igual a um projeto de pesquisa. Mesmo que haja necessidade de pesquisa prévia para a fundamentação teórica, construção da introdução e para um melhor entendimento sobre a realidade a ser trabalhada, é preciso que um projeto de extensão contemple práticas que promovam mudanças e/ou melhorias identificadas como necessárias. O projeto final deverá ser simples, objetivo, claro e ter de 3 a 5 páginas, dentro do modelo aqui proposto. </w:t>
      </w:r>
    </w:p>
    <w:p>
      <w:pPr>
        <w:spacing w:after="0" w:line="240" w:lineRule="auto"/>
        <w:rPr>
          <w:rFonts w:hint="default" w:ascii="Arial" w:hAnsi="Arial" w:eastAsia="Arial" w:cs="Arial"/>
          <w:color w:val="auto"/>
          <w:sz w:val="20"/>
          <w:szCs w:val="20"/>
        </w:rPr>
      </w:pPr>
    </w:p>
    <w:p>
      <w:pPr>
        <w:spacing w:after="0" w:line="240" w:lineRule="auto"/>
        <w:rPr>
          <w:rFonts w:hint="default" w:ascii="Arial" w:hAnsi="Arial" w:eastAsia="Arial" w:cs="Arial"/>
          <w:color w:val="auto"/>
          <w:sz w:val="20"/>
          <w:szCs w:val="20"/>
        </w:rPr>
      </w:pPr>
      <w:r>
        <w:rPr>
          <w:rFonts w:hint="default" w:ascii="Arial" w:hAnsi="Arial" w:eastAsia="Arial" w:cs="Arial"/>
          <w:b/>
          <w:color w:val="auto"/>
          <w:sz w:val="20"/>
          <w:szCs w:val="20"/>
        </w:rPr>
        <w:t>Resumo</w:t>
      </w:r>
    </w:p>
    <w:tbl>
      <w:tblPr>
        <w:tblStyle w:val="3"/>
        <w:tblW w:w="9356" w:type="dxa"/>
        <w:tblInd w:w="-1" w:type="dxa"/>
        <w:tblLayout w:type="fixed"/>
        <w:tblCellMar>
          <w:top w:w="0" w:type="dxa"/>
          <w:left w:w="108" w:type="dxa"/>
          <w:bottom w:w="0" w:type="dxa"/>
          <w:right w:w="108" w:type="dxa"/>
        </w:tblCellMar>
      </w:tblPr>
      <w:tblGrid>
        <w:gridCol w:w="9356"/>
      </w:tblGrid>
      <w:tr>
        <w:tblPrEx>
          <w:tblCellMar>
            <w:top w:w="0" w:type="dxa"/>
            <w:left w:w="108" w:type="dxa"/>
            <w:bottom w:w="0" w:type="dxa"/>
            <w:right w:w="108" w:type="dxa"/>
          </w:tblCellMar>
        </w:tblPrEx>
        <w:tc>
          <w:tcPr>
            <w:tcW w:w="9356" w:type="dxa"/>
            <w:tcBorders>
              <w:top w:val="single" w:color="000000" w:sz="4" w:space="0"/>
              <w:left w:val="single" w:color="000000" w:sz="4" w:space="0"/>
              <w:bottom w:val="single" w:color="000000" w:sz="4" w:space="0"/>
              <w:right w:val="single" w:color="000000" w:sz="4" w:space="0"/>
            </w:tcBorders>
            <w:shd w:val="clear" w:color="auto" w:fill="auto"/>
          </w:tcPr>
          <w:p>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Este projeto propõe o desenvolvimento de um dashboard web estratégico e operacional para a Cannoli, startup de foodtech que conecta restaurantes parceiros a seus clientes por meio de CRM, automação e delivery próprio. O problema central identificado é a ausência de uma ferramenta analítica integrada que permita a gestores de restaurantes e administradores da plataforma monitorar, interpretar e agir sobre indicadores de desempenho em tempo real ou de forma atualizada periodicamente. O público-alvo é composto por administradores da Cannoli e gestores de restaurantes parceiros de pequeno e médio porte. O objetivo geral é desenvolver um painel web seguro, escalável e usável, com visualizações de KPIs de vendas, fidelização, campanhas e finanças, além de módulo de análise inferencial e geração de alertas automáticos. A metodologia envolve levantamento de requisitos, modelagem de dados, desenvolvimento iterativo em sprints ágeis, testes e deploy em ambiente de nuvem. Os resultados esperados incluem maior capacidade de tomada de decisão baseada em dados pelos restaurantes parceiros, redução de churn e aumento da recorrência de clientes, além de contribuição acadêmica nas áreas de ciência de dados, engenharia de software e finanças aplicadas.</w:t>
            </w:r>
          </w:p>
          <w:p>
            <w:pPr>
              <w:spacing w:after="0" w:line="240" w:lineRule="auto"/>
              <w:jc w:val="both"/>
              <w:rPr>
                <w:rFonts w:hint="default" w:ascii="Arial" w:hAnsi="Arial" w:eastAsia="Arial" w:cs="Arial"/>
                <w:color w:val="auto"/>
                <w:sz w:val="20"/>
                <w:szCs w:val="20"/>
              </w:rPr>
            </w:pPr>
          </w:p>
        </w:tc>
      </w:tr>
    </w:tbl>
    <w:p>
      <w:pPr>
        <w:spacing w:after="0" w:line="240" w:lineRule="auto"/>
        <w:rPr>
          <w:rFonts w:hint="default" w:ascii="Arial" w:hAnsi="Arial" w:eastAsia="Arial" w:cs="Arial"/>
          <w:b/>
          <w:strike/>
          <w:color w:val="auto"/>
          <w:sz w:val="20"/>
          <w:szCs w:val="20"/>
        </w:rPr>
      </w:pPr>
    </w:p>
    <w:p>
      <w:pPr>
        <w:spacing w:after="0" w:line="240" w:lineRule="auto"/>
        <w:jc w:val="both"/>
        <w:rPr>
          <w:rFonts w:hint="default" w:ascii="Arial" w:hAnsi="Arial" w:eastAsia="Arial" w:cs="Arial"/>
          <w:color w:val="auto"/>
          <w:sz w:val="20"/>
          <w:szCs w:val="20"/>
        </w:rPr>
      </w:pPr>
      <w:r>
        <w:rPr>
          <w:rFonts w:hint="default" w:ascii="Arial" w:hAnsi="Arial" w:eastAsia="Arial" w:cs="Arial"/>
          <w:b/>
          <w:color w:val="auto"/>
          <w:sz w:val="20"/>
          <w:szCs w:val="20"/>
        </w:rPr>
        <w:t>Introdução</w:t>
      </w:r>
    </w:p>
    <w:tbl>
      <w:tblPr>
        <w:tblStyle w:val="3"/>
        <w:tblW w:w="9300" w:type="dxa"/>
        <w:tblInd w:w="0" w:type="dxa"/>
        <w:tblLayout w:type="fixed"/>
        <w:tblCellMar>
          <w:top w:w="0" w:type="dxa"/>
          <w:left w:w="108" w:type="dxa"/>
          <w:bottom w:w="0" w:type="dxa"/>
          <w:right w:w="108" w:type="dxa"/>
        </w:tblCellMar>
      </w:tblPr>
      <w:tblGrid>
        <w:gridCol w:w="9300"/>
      </w:tblGrid>
      <w:tr>
        <w:tblPrEx>
          <w:tblCellMar>
            <w:top w:w="0" w:type="dxa"/>
            <w:left w:w="108" w:type="dxa"/>
            <w:bottom w:w="0" w:type="dxa"/>
            <w:right w:w="108" w:type="dxa"/>
          </w:tblCellMar>
        </w:tblPrEx>
        <w:tc>
          <w:tcPr>
            <w:tcW w:w="9300" w:type="dxa"/>
            <w:tcBorders>
              <w:top w:val="single" w:color="000000" w:sz="4" w:space="0"/>
              <w:left w:val="single" w:color="000000" w:sz="4" w:space="0"/>
              <w:bottom w:val="single" w:color="000000" w:sz="4" w:space="0"/>
              <w:right w:val="single" w:color="000000" w:sz="4" w:space="0"/>
            </w:tcBorders>
            <w:shd w:val="clear" w:color="auto" w:fill="auto"/>
          </w:tcPr>
          <w:p>
            <w:pPr>
              <w:pStyle w:val="8"/>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O crescimento acelerado do setor de foodtech no Brasil tem impulsionado startups a desenvolverem soluções cada vez mais sofisticadas para o foodservice. Segundo dados do SEBRAE (2023), o setor de alimentação fora do lar movimenta mais de R$ 200 bilhões por ano no Brasil, e a digitalização dos processos tem se tornado um diferencial competitivo crucial para a sobrevivência de pequenos e médios estabelecimentos.</w:t>
            </w:r>
          </w:p>
          <w:p>
            <w:pPr>
              <w:pStyle w:val="8"/>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Nesse contexto, a Cannoli se posiciona como uma plataforma completa de gestão do relacionamento com o cliente para restaurantes, integrando CRM, automação de marketing, cardápio digital e delivery próprio. Contudo, mesmo com uma plataforma robusta de operação, a ausência de um painel analítico centralizado limita a capacidade dos parceiros de interpretar dados e agir estrategicamente.</w:t>
            </w:r>
          </w:p>
          <w:p>
            <w:pPr>
              <w:pStyle w:val="8"/>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A ciência de dados aplicada ao varejo e ao foodservice tem demonstrado que o monitoramento contínuo de indicadores como taxa de recompra, ticket médio, segmentação RFM (Recência, Frequência e Valor Monetário) e efetividade de campanhas está diretamente correlacionado ao aumento da retenção de clientes e à sustentabilidade financeira dos negócios (PROVOST; FAWCETT, 2013). A análise inferencial, por sua vez, permite que decisões sejam tomadas com base em evidências estatísticas, reduzindo o risco de intervenções equivocadas.</w:t>
            </w:r>
          </w:p>
          <w:p>
            <w:pPr>
              <w:pStyle w:val="8"/>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Do ponto de vista da engenharia de software, a construção de sistemas analíticos exige atenção à arquitetura em camadas, segurança de dados, conformidade com a Lei Geral de Proteção de Dados (LGPD – Lei nº 13.709/2018) e boas práticas de desenvolvimento ágil, como o framework Scrum.</w:t>
            </w:r>
          </w:p>
          <w:p>
            <w:pPr>
              <w:pStyle w:val="8"/>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Este projeto está alinhado às ODS 8 (Trabalho Decente e Crescimento Econômico), ao apoiar a sustentabilidade de pequenos negócios do foodservice por meio de tecnologia, e à ODS 9 (Indústria, Inovação e Infraestrutura), ao desenvolver infraestrutura digital inovadora e acessível.</w:t>
            </w:r>
          </w:p>
          <w:p>
            <w:pPr>
              <w:spacing w:after="0" w:line="240" w:lineRule="auto"/>
              <w:jc w:val="both"/>
              <w:rPr>
                <w:rFonts w:hint="default" w:ascii="Arial" w:hAnsi="Arial" w:eastAsia="Arial" w:cs="Arial"/>
                <w:color w:val="auto"/>
                <w:sz w:val="20"/>
                <w:szCs w:val="20"/>
              </w:rPr>
            </w:pPr>
          </w:p>
        </w:tc>
      </w:tr>
    </w:tbl>
    <w:p>
      <w:pPr>
        <w:spacing w:after="0" w:line="240" w:lineRule="auto"/>
        <w:rPr>
          <w:rFonts w:hint="default" w:ascii="Arial" w:hAnsi="Arial" w:eastAsia="Arial" w:cs="Arial"/>
          <w:b/>
          <w:color w:val="auto"/>
          <w:sz w:val="20"/>
          <w:szCs w:val="20"/>
        </w:rPr>
      </w:pPr>
    </w:p>
    <w:p>
      <w:pPr>
        <w:spacing w:after="0" w:line="240" w:lineRule="auto"/>
        <w:rPr>
          <w:rFonts w:hint="default" w:ascii="Arial" w:hAnsi="Arial" w:eastAsia="Arial" w:cs="Arial"/>
          <w:b/>
          <w:color w:val="auto"/>
          <w:sz w:val="20"/>
          <w:szCs w:val="20"/>
        </w:rPr>
      </w:pPr>
      <w:r>
        <w:rPr>
          <w:rFonts w:hint="default" w:ascii="Arial" w:hAnsi="Arial" w:eastAsia="Arial" w:cs="Arial"/>
          <w:b/>
          <w:color w:val="auto"/>
          <w:sz w:val="20"/>
          <w:szCs w:val="20"/>
        </w:rPr>
        <w:t>Objetivos</w:t>
      </w:r>
    </w:p>
    <w:tbl>
      <w:tblPr>
        <w:tblStyle w:val="3"/>
        <w:tblW w:w="9300" w:type="dxa"/>
        <w:tblInd w:w="0" w:type="dxa"/>
        <w:tblLayout w:type="fixed"/>
        <w:tblCellMar>
          <w:top w:w="0" w:type="dxa"/>
          <w:left w:w="108" w:type="dxa"/>
          <w:bottom w:w="0" w:type="dxa"/>
          <w:right w:w="108" w:type="dxa"/>
        </w:tblCellMar>
      </w:tblPr>
      <w:tblGrid>
        <w:gridCol w:w="9300"/>
      </w:tblGrid>
      <w:tr>
        <w:tblPrEx>
          <w:tblCellMar>
            <w:top w:w="0" w:type="dxa"/>
            <w:left w:w="108" w:type="dxa"/>
            <w:bottom w:w="0" w:type="dxa"/>
            <w:right w:w="108" w:type="dxa"/>
          </w:tblCellMar>
        </w:tblPrEx>
        <w:tc>
          <w:tcPr>
            <w:tcW w:w="9300" w:type="dxa"/>
            <w:tcBorders>
              <w:top w:val="single" w:color="000000" w:sz="4" w:space="0"/>
              <w:left w:val="single" w:color="000000" w:sz="4" w:space="0"/>
              <w:bottom w:val="single" w:color="000000" w:sz="4" w:space="0"/>
              <w:right w:val="single" w:color="000000" w:sz="4" w:space="0"/>
            </w:tcBorders>
            <w:shd w:val="clear" w:color="auto" w:fill="auto"/>
          </w:tcPr>
          <w:p>
            <w:pPr>
              <w:pStyle w:val="8"/>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Desenvolver um dashboard web seguro e escalável para visualização de indicadores estratégicos e operacionais da Cannoli, com visões específicas para administradores e restaurantes parceiros, apoiando decisões e ações de fidelização de clientes.</w:t>
            </w:r>
          </w:p>
          <w:p>
            <w:pPr>
              <w:pStyle w:val="8"/>
              <w:keepNext w:val="0"/>
              <w:keepLines w:val="0"/>
              <w:widowControl/>
              <w:suppressLineNumbers w:val="0"/>
              <w:spacing w:before="0" w:beforeAutospacing="1" w:after="0" w:afterAutospacing="1"/>
              <w:ind w:left="0" w:right="0"/>
              <w:rPr>
                <w:rFonts w:hint="default" w:ascii="Arial" w:hAnsi="Arial" w:cs="Arial"/>
                <w:sz w:val="20"/>
                <w:szCs w:val="20"/>
              </w:rPr>
            </w:pPr>
            <w:r>
              <w:rPr>
                <w:rStyle w:val="4"/>
                <w:rFonts w:hint="default" w:ascii="Arial" w:hAnsi="Arial" w:cs="Arial"/>
                <w:sz w:val="20"/>
                <w:szCs w:val="20"/>
              </w:rPr>
              <w:t>Objetivos Específicos:</w:t>
            </w:r>
          </w:p>
          <w:p>
            <w:pPr>
              <w:keepNext w:val="0"/>
              <w:keepLines w:val="0"/>
              <w:widowControl/>
              <w:numPr>
                <w:ilvl w:val="0"/>
                <w:numId w:val="4"/>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Definir e documentar os KPIs essenciais de engajamento, vendas, fidelização, operação e finanças, incluindo fórmulas e dicionário de dados;</w:t>
            </w:r>
          </w:p>
          <w:p>
            <w:pPr>
              <w:keepNext w:val="0"/>
              <w:keepLines w:val="0"/>
              <w:widowControl/>
              <w:numPr>
                <w:ilvl w:val="0"/>
                <w:numId w:val="4"/>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Modelar e implementar o pipeline de dados (ingestão, tratamento e armazenamento) com rastreabilidade e atualização periódica;</w:t>
            </w:r>
          </w:p>
          <w:p>
            <w:pPr>
              <w:keepNext w:val="0"/>
              <w:keepLines w:val="0"/>
              <w:widowControl/>
              <w:numPr>
                <w:ilvl w:val="0"/>
                <w:numId w:val="4"/>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Desenvolver painéis por perfil de usuário com filtros interativos, comparações por período e drill-down por canal, campanha, produto e unidade;</w:t>
            </w:r>
          </w:p>
          <w:p>
            <w:pPr>
              <w:keepNext w:val="0"/>
              <w:keepLines w:val="0"/>
              <w:widowControl/>
              <w:numPr>
                <w:ilvl w:val="0"/>
                <w:numId w:val="4"/>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Aplicar técnicas de análise inferencial, incluindo intervalos de confiança e testes A/B simulados, para embasar recomendações estratégicas;</w:t>
            </w:r>
          </w:p>
          <w:p>
            <w:pPr>
              <w:keepNext w:val="0"/>
              <w:keepLines w:val="0"/>
              <w:widowControl/>
              <w:numPr>
                <w:ilvl w:val="0"/>
                <w:numId w:val="4"/>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Implementar módulo de alertas automáticos para queda de recorrência, aumento de cancelamentos e variação negativa de ticket médio;</w:t>
            </w:r>
          </w:p>
          <w:p>
            <w:pPr>
              <w:keepNext w:val="0"/>
              <w:keepLines w:val="0"/>
              <w:widowControl/>
              <w:numPr>
                <w:ilvl w:val="0"/>
                <w:numId w:val="4"/>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Garantir conformidade com a LGPD e boas práticas de segurança, incluindo autenticação, hash de senhas e log de auditoria;</w:t>
            </w:r>
          </w:p>
          <w:p>
            <w:pPr>
              <w:keepNext w:val="0"/>
              <w:keepLines w:val="0"/>
              <w:widowControl/>
              <w:numPr>
                <w:ilvl w:val="0"/>
                <w:numId w:val="4"/>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Documentar o projeto com README, padrão de commits e diagramas UML aplicados ao sistema desenvolvido.</w:t>
            </w:r>
          </w:p>
          <w:p>
            <w:pPr>
              <w:tabs>
                <w:tab w:val="left" w:pos="360"/>
              </w:tabs>
              <w:spacing w:after="0" w:line="240" w:lineRule="auto"/>
              <w:jc w:val="both"/>
              <w:rPr>
                <w:rFonts w:hint="default" w:ascii="Arial" w:hAnsi="Arial" w:eastAsia="Arial" w:cs="Arial"/>
                <w:color w:val="auto"/>
                <w:sz w:val="20"/>
                <w:szCs w:val="20"/>
              </w:rPr>
            </w:pPr>
          </w:p>
        </w:tc>
      </w:tr>
    </w:tbl>
    <w:p>
      <w:pPr>
        <w:spacing w:after="0" w:line="240" w:lineRule="auto"/>
        <w:rPr>
          <w:rFonts w:hint="default" w:ascii="Arial" w:hAnsi="Arial" w:eastAsia="Arial" w:cs="Arial"/>
          <w:color w:val="auto"/>
          <w:sz w:val="20"/>
          <w:szCs w:val="20"/>
        </w:rPr>
      </w:pPr>
    </w:p>
    <w:p>
      <w:pPr>
        <w:spacing w:after="0" w:line="240" w:lineRule="auto"/>
        <w:rPr>
          <w:rFonts w:hint="default" w:ascii="Arial" w:hAnsi="Arial" w:eastAsia="Arial" w:cs="Arial"/>
          <w:color w:val="auto"/>
          <w:sz w:val="20"/>
          <w:szCs w:val="20"/>
        </w:rPr>
      </w:pPr>
      <w:r>
        <w:rPr>
          <w:rFonts w:hint="default" w:ascii="Arial" w:hAnsi="Arial" w:eastAsia="Arial" w:cs="Arial"/>
          <w:b/>
          <w:color w:val="auto"/>
          <w:sz w:val="20"/>
          <w:szCs w:val="20"/>
        </w:rPr>
        <w:t xml:space="preserve">Métodos </w:t>
      </w:r>
    </w:p>
    <w:tbl>
      <w:tblPr>
        <w:tblStyle w:val="3"/>
        <w:tblW w:w="9300" w:type="dxa"/>
        <w:tblInd w:w="0" w:type="dxa"/>
        <w:tblLayout w:type="fixed"/>
        <w:tblCellMar>
          <w:top w:w="0" w:type="dxa"/>
          <w:left w:w="108" w:type="dxa"/>
          <w:bottom w:w="0" w:type="dxa"/>
          <w:right w:w="108" w:type="dxa"/>
        </w:tblCellMar>
      </w:tblPr>
      <w:tblGrid>
        <w:gridCol w:w="9300"/>
      </w:tblGrid>
      <w:tr>
        <w:tblPrEx>
          <w:tblCellMar>
            <w:top w:w="0" w:type="dxa"/>
            <w:left w:w="108" w:type="dxa"/>
            <w:bottom w:w="0" w:type="dxa"/>
            <w:right w:w="108" w:type="dxa"/>
          </w:tblCellMar>
        </w:tblPrEx>
        <w:tc>
          <w:tcPr>
            <w:tcW w:w="9300" w:type="dxa"/>
            <w:tcBorders>
              <w:top w:val="single" w:color="000000" w:sz="4" w:space="0"/>
              <w:left w:val="single" w:color="000000" w:sz="4" w:space="0"/>
              <w:bottom w:val="single" w:color="000000" w:sz="4" w:space="0"/>
              <w:right w:val="single" w:color="000000" w:sz="4" w:space="0"/>
            </w:tcBorders>
            <w:shd w:val="clear" w:color="auto" w:fill="auto"/>
          </w:tcPr>
          <w:p>
            <w:pPr>
              <w:pStyle w:val="8"/>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O projeto será desenvolvido em abordagem iterativa e incremental, seguindo princípios do framework Scrum, com sprints quinzenais e entregas parciais ao longo de 13 semanas.</w:t>
            </w:r>
          </w:p>
          <w:p>
            <w:pPr>
              <w:pStyle w:val="8"/>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As etapas metodológicas são:</w:t>
            </w:r>
          </w:p>
          <w:p>
            <w:pPr>
              <w:keepNext w:val="0"/>
              <w:keepLines w:val="0"/>
              <w:widowControl/>
              <w:numPr>
                <w:ilvl w:val="0"/>
                <w:numId w:val="5"/>
              </w:numPr>
              <w:suppressLineNumbers w:val="0"/>
              <w:spacing w:before="0" w:beforeAutospacing="1" w:after="0" w:afterAutospacing="1"/>
              <w:ind w:left="720" w:hanging="360"/>
              <w:rPr>
                <w:rFonts w:hint="default" w:ascii="Arial" w:hAnsi="Arial" w:cs="Arial"/>
                <w:sz w:val="20"/>
                <w:szCs w:val="20"/>
              </w:rPr>
            </w:pPr>
            <w:r>
              <w:rPr>
                <w:rStyle w:val="9"/>
                <w:rFonts w:hint="default" w:ascii="Arial" w:hAnsi="Arial" w:cs="Arial"/>
                <w:sz w:val="20"/>
                <w:szCs w:val="20"/>
              </w:rPr>
              <w:t>Levantamento e análise de requisitos:</w:t>
            </w:r>
            <w:r>
              <w:rPr>
                <w:rFonts w:hint="default" w:ascii="Arial" w:hAnsi="Arial" w:cs="Arial"/>
                <w:sz w:val="20"/>
                <w:szCs w:val="20"/>
              </w:rPr>
              <w:t xml:space="preserve"> reuniões de alinhamento para entendimento do negócio da Cannoli, identificação dos perfis de usuário e definição dos KPIs prioritários. Produção de documento de requisitos funcionais e não funcionais.</w:t>
            </w:r>
          </w:p>
          <w:p>
            <w:pPr>
              <w:keepNext w:val="0"/>
              <w:keepLines w:val="0"/>
              <w:widowControl/>
              <w:numPr>
                <w:ilvl w:val="0"/>
                <w:numId w:val="5"/>
              </w:numPr>
              <w:suppressLineNumbers w:val="0"/>
              <w:spacing w:before="0" w:beforeAutospacing="1" w:after="0" w:afterAutospacing="1"/>
              <w:ind w:left="720" w:hanging="360"/>
              <w:rPr>
                <w:rFonts w:hint="default" w:ascii="Arial" w:hAnsi="Arial" w:cs="Arial"/>
                <w:sz w:val="20"/>
                <w:szCs w:val="20"/>
              </w:rPr>
            </w:pPr>
            <w:r>
              <w:rPr>
                <w:rStyle w:val="9"/>
                <w:rFonts w:hint="default" w:ascii="Arial" w:hAnsi="Arial" w:cs="Arial"/>
                <w:sz w:val="20"/>
                <w:szCs w:val="20"/>
              </w:rPr>
              <w:t>Modelagem de dados:</w:t>
            </w:r>
            <w:r>
              <w:rPr>
                <w:rFonts w:hint="default" w:ascii="Arial" w:hAnsi="Arial" w:cs="Arial"/>
                <w:sz w:val="20"/>
                <w:szCs w:val="20"/>
              </w:rPr>
              <w:t xml:space="preserve"> construção do dicionário de dados, esquema relacional do banco de dados e definição do pipeline de ingestão, tratamento e armazenamento. Uso de dados simulados (mock) representativos do contexto de foodservice.</w:t>
            </w:r>
          </w:p>
          <w:p>
            <w:pPr>
              <w:keepNext w:val="0"/>
              <w:keepLines w:val="0"/>
              <w:widowControl/>
              <w:numPr>
                <w:ilvl w:val="0"/>
                <w:numId w:val="5"/>
              </w:numPr>
              <w:suppressLineNumbers w:val="0"/>
              <w:spacing w:before="0" w:beforeAutospacing="1" w:after="0" w:afterAutospacing="1"/>
              <w:ind w:left="720" w:hanging="360"/>
              <w:rPr>
                <w:rFonts w:hint="default" w:ascii="Arial" w:hAnsi="Arial" w:cs="Arial"/>
                <w:sz w:val="20"/>
                <w:szCs w:val="20"/>
              </w:rPr>
            </w:pPr>
            <w:r>
              <w:rPr>
                <w:rStyle w:val="9"/>
                <w:rFonts w:hint="default" w:ascii="Arial" w:hAnsi="Arial" w:cs="Arial"/>
                <w:sz w:val="20"/>
                <w:szCs w:val="20"/>
              </w:rPr>
              <w:t>Prototipação:</w:t>
            </w:r>
            <w:r>
              <w:rPr>
                <w:rFonts w:hint="default" w:ascii="Arial" w:hAnsi="Arial" w:cs="Arial"/>
                <w:sz w:val="20"/>
                <w:szCs w:val="20"/>
              </w:rPr>
              <w:t xml:space="preserve"> desenvolvimento de protótipo navegável das telas principais do dashboard, com foco em hierarquia visual, usabilidade e fluxo de navegação por perfil.</w:t>
            </w:r>
          </w:p>
          <w:p>
            <w:pPr>
              <w:keepNext w:val="0"/>
              <w:keepLines w:val="0"/>
              <w:widowControl/>
              <w:numPr>
                <w:ilvl w:val="0"/>
                <w:numId w:val="5"/>
              </w:numPr>
              <w:suppressLineNumbers w:val="0"/>
              <w:spacing w:before="0" w:beforeAutospacing="1" w:after="0" w:afterAutospacing="1"/>
              <w:ind w:left="720" w:hanging="360"/>
              <w:rPr>
                <w:rFonts w:hint="default" w:ascii="Arial" w:hAnsi="Arial" w:cs="Arial"/>
                <w:sz w:val="20"/>
                <w:szCs w:val="20"/>
              </w:rPr>
            </w:pPr>
            <w:r>
              <w:rPr>
                <w:rStyle w:val="9"/>
                <w:rFonts w:hint="default" w:ascii="Arial" w:hAnsi="Arial" w:cs="Arial"/>
                <w:sz w:val="20"/>
                <w:szCs w:val="20"/>
              </w:rPr>
              <w:t>Desenvolvimento:</w:t>
            </w:r>
            <w:r>
              <w:rPr>
                <w:rFonts w:hint="default" w:ascii="Arial" w:hAnsi="Arial" w:cs="Arial"/>
                <w:sz w:val="20"/>
                <w:szCs w:val="20"/>
              </w:rPr>
              <w:t xml:space="preserve"> implementação do sistema em camadas — frontend (React/Next.js ou Streamlit), backend (FastAPI ou Node.js) e banco de dados (PostgreSQL). Integração de pipeline de dados com atualização por polling ou simulação em tempo real.</w:t>
            </w:r>
          </w:p>
          <w:p>
            <w:pPr>
              <w:keepNext w:val="0"/>
              <w:keepLines w:val="0"/>
              <w:widowControl/>
              <w:numPr>
                <w:ilvl w:val="0"/>
                <w:numId w:val="5"/>
              </w:numPr>
              <w:suppressLineNumbers w:val="0"/>
              <w:spacing w:before="0" w:beforeAutospacing="1" w:after="0" w:afterAutospacing="1"/>
              <w:ind w:left="720" w:hanging="360"/>
              <w:rPr>
                <w:rFonts w:hint="default" w:ascii="Arial" w:hAnsi="Arial" w:cs="Arial"/>
                <w:sz w:val="20"/>
                <w:szCs w:val="20"/>
              </w:rPr>
            </w:pPr>
            <w:r>
              <w:rPr>
                <w:rStyle w:val="9"/>
                <w:rFonts w:hint="default" w:ascii="Arial" w:hAnsi="Arial" w:cs="Arial"/>
                <w:sz w:val="20"/>
                <w:szCs w:val="20"/>
              </w:rPr>
              <w:t>Análise de dados e módulo inferencial:</w:t>
            </w:r>
            <w:r>
              <w:rPr>
                <w:rFonts w:hint="default" w:ascii="Arial" w:hAnsi="Arial" w:cs="Arial"/>
                <w:sz w:val="20"/>
                <w:szCs w:val="20"/>
              </w:rPr>
              <w:t xml:space="preserve"> aplicação de técnicas de análise descritiva (média, mediana, desvio padrão, histogramas, boxplots) e inferencial (intervalos de confiança, regressão linear, testes A/B simulados) sobre os dados do dashboard.</w:t>
            </w:r>
          </w:p>
          <w:p>
            <w:pPr>
              <w:keepNext w:val="0"/>
              <w:keepLines w:val="0"/>
              <w:widowControl/>
              <w:numPr>
                <w:ilvl w:val="0"/>
                <w:numId w:val="5"/>
              </w:numPr>
              <w:suppressLineNumbers w:val="0"/>
              <w:spacing w:before="0" w:beforeAutospacing="1" w:after="0" w:afterAutospacing="1"/>
              <w:ind w:left="720" w:hanging="360"/>
              <w:rPr>
                <w:rFonts w:hint="default" w:ascii="Arial" w:hAnsi="Arial" w:cs="Arial"/>
                <w:sz w:val="20"/>
                <w:szCs w:val="20"/>
              </w:rPr>
            </w:pPr>
            <w:r>
              <w:rPr>
                <w:rStyle w:val="9"/>
                <w:rFonts w:hint="default" w:ascii="Arial" w:hAnsi="Arial" w:cs="Arial"/>
                <w:sz w:val="20"/>
                <w:szCs w:val="20"/>
              </w:rPr>
              <w:t>Testes, segurança e deploy:</w:t>
            </w:r>
            <w:r>
              <w:rPr>
                <w:rFonts w:hint="default" w:ascii="Arial" w:hAnsi="Arial" w:cs="Arial"/>
                <w:sz w:val="20"/>
                <w:szCs w:val="20"/>
              </w:rPr>
              <w:t xml:space="preserve"> realização de testes funcionais e de usabilidade, hardening de segurança, pseudonimização de dados pessoais conforme LGPD e publicação em ambiente de nuvem.</w:t>
            </w:r>
          </w:p>
          <w:p>
            <w:pPr>
              <w:keepNext w:val="0"/>
              <w:keepLines w:val="0"/>
              <w:widowControl/>
              <w:numPr>
                <w:ilvl w:val="0"/>
                <w:numId w:val="5"/>
              </w:numPr>
              <w:suppressLineNumbers w:val="0"/>
              <w:spacing w:before="0" w:beforeAutospacing="1" w:after="0" w:afterAutospacing="1"/>
              <w:ind w:left="720" w:hanging="360"/>
              <w:rPr>
                <w:rFonts w:hint="default" w:ascii="Arial" w:hAnsi="Arial" w:cs="Arial"/>
                <w:sz w:val="20"/>
                <w:szCs w:val="20"/>
              </w:rPr>
            </w:pPr>
            <w:r>
              <w:rPr>
                <w:rStyle w:val="9"/>
                <w:rFonts w:hint="default" w:ascii="Arial" w:hAnsi="Arial" w:cs="Arial"/>
                <w:sz w:val="20"/>
                <w:szCs w:val="20"/>
              </w:rPr>
              <w:t>Documentação e apresentação:</w:t>
            </w:r>
            <w:r>
              <w:rPr>
                <w:rFonts w:hint="default" w:ascii="Arial" w:hAnsi="Arial" w:cs="Arial"/>
                <w:sz w:val="20"/>
                <w:szCs w:val="20"/>
              </w:rPr>
              <w:t xml:space="preserve"> elaboração do relatório executivo, README do repositório, diagramas UML (casos de uso e classes), e preparação do pitch e banner para a Semana FECAP de Tecnologia.</w:t>
            </w:r>
          </w:p>
          <w:p>
            <w:pPr>
              <w:pStyle w:val="8"/>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As ferramentas utilizadas incluem: GitHub (versionamento), Google Colab (análise de dados), Figma (prototipação), Docker (containerização opcional) e GitHub Actions (CI/CD opcional).</w:t>
            </w:r>
          </w:p>
          <w:p>
            <w:pPr>
              <w:spacing w:after="0" w:line="240" w:lineRule="auto"/>
              <w:jc w:val="both"/>
              <w:rPr>
                <w:rFonts w:hint="default" w:ascii="Arial" w:hAnsi="Arial" w:eastAsia="Arial" w:cs="Arial"/>
                <w:color w:val="auto"/>
                <w:sz w:val="20"/>
                <w:szCs w:val="20"/>
              </w:rPr>
            </w:pPr>
          </w:p>
        </w:tc>
      </w:tr>
    </w:tbl>
    <w:p>
      <w:pPr>
        <w:spacing w:after="0" w:line="240" w:lineRule="auto"/>
        <w:rPr>
          <w:rFonts w:hint="default" w:ascii="Arial" w:hAnsi="Arial" w:eastAsia="Arial" w:cs="Arial"/>
          <w:color w:val="auto"/>
          <w:sz w:val="20"/>
          <w:szCs w:val="20"/>
        </w:rPr>
      </w:pPr>
    </w:p>
    <w:p>
      <w:pPr>
        <w:spacing w:after="0" w:line="240" w:lineRule="auto"/>
        <w:rPr>
          <w:rFonts w:hint="default" w:ascii="Arial" w:hAnsi="Arial" w:eastAsia="Arial" w:cs="Arial"/>
          <w:color w:val="auto"/>
          <w:sz w:val="20"/>
          <w:szCs w:val="20"/>
        </w:rPr>
      </w:pPr>
      <w:r>
        <w:rPr>
          <w:rFonts w:hint="default" w:ascii="Arial" w:hAnsi="Arial" w:eastAsia="Arial" w:cs="Arial"/>
          <w:b/>
          <w:color w:val="auto"/>
          <w:sz w:val="20"/>
          <w:szCs w:val="20"/>
        </w:rPr>
        <w:t>Resultados (ou resultados esperados)</w:t>
      </w:r>
    </w:p>
    <w:tbl>
      <w:tblPr>
        <w:tblStyle w:val="3"/>
        <w:tblW w:w="9360" w:type="dxa"/>
        <w:tblInd w:w="-5" w:type="dxa"/>
        <w:tblLayout w:type="fixed"/>
        <w:tblCellMar>
          <w:top w:w="0" w:type="dxa"/>
          <w:left w:w="108" w:type="dxa"/>
          <w:bottom w:w="0" w:type="dxa"/>
          <w:right w:w="108" w:type="dxa"/>
        </w:tblCellMar>
      </w:tblPr>
      <w:tblGrid>
        <w:gridCol w:w="9360"/>
      </w:tblGrid>
      <w:tr>
        <w:tc>
          <w:tcPr>
            <w:tcW w:w="9360" w:type="dxa"/>
            <w:tcBorders>
              <w:top w:val="single" w:color="000000" w:sz="4" w:space="0"/>
              <w:left w:val="single" w:color="000000" w:sz="4" w:space="0"/>
              <w:bottom w:val="single" w:color="000000" w:sz="4" w:space="0"/>
              <w:right w:val="single" w:color="000000" w:sz="4" w:space="0"/>
            </w:tcBorders>
            <w:shd w:val="clear" w:color="auto" w:fill="auto"/>
          </w:tcPr>
          <w:p>
            <w:pPr>
              <w:pStyle w:val="8"/>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Espera-se que, ao final do projeto, os seguintes resultados sejam alcançados:</w:t>
            </w:r>
          </w:p>
          <w:p>
            <w:pPr>
              <w:keepNext w:val="0"/>
              <w:keepLines w:val="0"/>
              <w:widowControl/>
              <w:numPr>
                <w:ilvl w:val="0"/>
                <w:numId w:val="6"/>
              </w:numPr>
              <w:suppressLineNumbers w:val="0"/>
              <w:spacing w:before="0" w:beforeAutospacing="1" w:after="0" w:afterAutospacing="1"/>
              <w:ind w:left="720" w:hanging="360"/>
              <w:rPr>
                <w:rFonts w:hint="default" w:ascii="Arial" w:hAnsi="Arial" w:cs="Arial"/>
                <w:sz w:val="20"/>
                <w:szCs w:val="20"/>
              </w:rPr>
            </w:pPr>
            <w:r>
              <w:rPr>
                <w:rStyle w:val="9"/>
                <w:rFonts w:hint="default" w:ascii="Arial" w:hAnsi="Arial" w:cs="Arial"/>
                <w:sz w:val="20"/>
                <w:szCs w:val="20"/>
              </w:rPr>
              <w:t>Para os restaurantes parceiros da Cannoli:</w:t>
            </w:r>
            <w:r>
              <w:rPr>
                <w:rFonts w:hint="default" w:ascii="Arial" w:hAnsi="Arial" w:cs="Arial"/>
                <w:sz w:val="20"/>
                <w:szCs w:val="20"/>
              </w:rPr>
              <w:t xml:space="preserve"> acesso a um painel analítico intuitivo que permita monitorar em tempo real (ou com atualização periódica) indicadores como faturamento, taxa de conversão de vendas, número de mensagens por campanha, ticket médio e taxa de recompra, possibilitando decisões mais rápidas e embasadas;</w:t>
            </w:r>
          </w:p>
          <w:p>
            <w:pPr>
              <w:keepNext w:val="0"/>
              <w:keepLines w:val="0"/>
              <w:widowControl/>
              <w:numPr>
                <w:ilvl w:val="0"/>
                <w:numId w:val="6"/>
              </w:numPr>
              <w:suppressLineNumbers w:val="0"/>
              <w:spacing w:before="0" w:beforeAutospacing="1" w:after="0" w:afterAutospacing="1"/>
              <w:ind w:left="720" w:hanging="360"/>
              <w:rPr>
                <w:rFonts w:hint="default" w:ascii="Arial" w:hAnsi="Arial" w:cs="Arial"/>
                <w:sz w:val="20"/>
                <w:szCs w:val="20"/>
              </w:rPr>
            </w:pPr>
            <w:r>
              <w:rPr>
                <w:rStyle w:val="9"/>
                <w:rFonts w:hint="default" w:ascii="Arial" w:hAnsi="Arial" w:cs="Arial"/>
                <w:sz w:val="20"/>
                <w:szCs w:val="20"/>
              </w:rPr>
              <w:t>Para os administradores da Cannoli:</w:t>
            </w:r>
            <w:r>
              <w:rPr>
                <w:rFonts w:hint="default" w:ascii="Arial" w:hAnsi="Arial" w:cs="Arial"/>
                <w:sz w:val="20"/>
                <w:szCs w:val="20"/>
              </w:rPr>
              <w:t xml:space="preserve"> visão consolidada da operação de múltiplos restaurantes, com alertas automáticos para variações críticas e relatórios exportáveis para apoio à gestão estratégica;</w:t>
            </w:r>
          </w:p>
          <w:p>
            <w:pPr>
              <w:keepNext w:val="0"/>
              <w:keepLines w:val="0"/>
              <w:widowControl/>
              <w:numPr>
                <w:ilvl w:val="0"/>
                <w:numId w:val="6"/>
              </w:numPr>
              <w:suppressLineNumbers w:val="0"/>
              <w:spacing w:before="0" w:beforeAutospacing="1" w:after="0" w:afterAutospacing="1"/>
              <w:ind w:left="720" w:hanging="360"/>
              <w:rPr>
                <w:rFonts w:hint="default" w:ascii="Arial" w:hAnsi="Arial" w:cs="Arial"/>
                <w:sz w:val="20"/>
                <w:szCs w:val="20"/>
              </w:rPr>
            </w:pPr>
            <w:r>
              <w:rPr>
                <w:rStyle w:val="9"/>
                <w:rFonts w:hint="default" w:ascii="Arial" w:hAnsi="Arial" w:cs="Arial"/>
                <w:sz w:val="20"/>
                <w:szCs w:val="20"/>
              </w:rPr>
              <w:t>Para a academia:</w:t>
            </w:r>
            <w:r>
              <w:rPr>
                <w:rFonts w:hint="default" w:ascii="Arial" w:hAnsi="Arial" w:cs="Arial"/>
                <w:sz w:val="20"/>
                <w:szCs w:val="20"/>
              </w:rPr>
              <w:t xml:space="preserve"> desenvolvimento das competências dos estudantes em ciência de dados aplicada, engenharia de software, análise inferencial e finanças, com produto real entregue a uma empresa parceira;</w:t>
            </w:r>
          </w:p>
          <w:p>
            <w:pPr>
              <w:keepNext w:val="0"/>
              <w:keepLines w:val="0"/>
              <w:widowControl/>
              <w:numPr>
                <w:ilvl w:val="0"/>
                <w:numId w:val="6"/>
              </w:numPr>
              <w:suppressLineNumbers w:val="0"/>
              <w:spacing w:before="0" w:beforeAutospacing="1" w:after="0" w:afterAutospacing="1"/>
              <w:ind w:left="720" w:hanging="360"/>
              <w:rPr>
                <w:rFonts w:hint="default" w:ascii="Arial" w:hAnsi="Arial" w:cs="Arial"/>
                <w:sz w:val="20"/>
                <w:szCs w:val="20"/>
              </w:rPr>
            </w:pPr>
            <w:r>
              <w:rPr>
                <w:rStyle w:val="9"/>
                <w:rFonts w:hint="default" w:ascii="Arial" w:hAnsi="Arial" w:cs="Arial"/>
                <w:sz w:val="20"/>
                <w:szCs w:val="20"/>
              </w:rPr>
              <w:t>Para a sociedade:</w:t>
            </w:r>
            <w:r>
              <w:rPr>
                <w:rFonts w:hint="default" w:ascii="Arial" w:hAnsi="Arial" w:cs="Arial"/>
                <w:sz w:val="20"/>
                <w:szCs w:val="20"/>
              </w:rPr>
              <w:t xml:space="preserve"> fortalecimento da capacidade competitiva de pequenos e médios negócios do foodservice brasileiro, contribuindo para a geração de emprego e renda (ODS 8) e para a disseminação de soluções tecnológicas inovadoras e acessíveis (ODS 9).</w:t>
            </w:r>
          </w:p>
          <w:p>
            <w:pPr>
              <w:pStyle w:val="8"/>
              <w:keepNext w:val="0"/>
              <w:keepLines w:val="0"/>
              <w:widowControl/>
              <w:suppressLineNumbers w:val="0"/>
              <w:spacing w:before="0" w:beforeAutospacing="1" w:after="0" w:afterAutospacing="1"/>
              <w:ind w:left="0" w:right="0"/>
              <w:rPr>
                <w:rFonts w:hint="default" w:ascii="Arial" w:hAnsi="Arial" w:eastAsia="Arial" w:cs="Arial"/>
                <w:color w:val="auto"/>
                <w:sz w:val="20"/>
                <w:szCs w:val="20"/>
              </w:rPr>
            </w:pPr>
            <w:r>
              <w:rPr>
                <w:rFonts w:hint="default" w:ascii="Arial" w:hAnsi="Arial" w:cs="Arial"/>
                <w:sz w:val="20"/>
                <w:szCs w:val="20"/>
              </w:rPr>
              <w:t>O dashboard desenvolvido servirá como prova de conceito escalável, podendo ser evoluído pela Cannoli para incorporar funcionalidades como previsão de churn, recomendação de campanhas por perfil de cliente e integração com marketplaces externos.</w:t>
            </w:r>
          </w:p>
        </w:tc>
      </w:tr>
    </w:tbl>
    <w:p>
      <w:pPr>
        <w:spacing w:after="0" w:line="240" w:lineRule="auto"/>
        <w:rPr>
          <w:rFonts w:hint="default" w:ascii="Arial" w:hAnsi="Arial" w:eastAsia="Arial" w:cs="Arial"/>
          <w:b/>
          <w:color w:val="auto"/>
          <w:sz w:val="20"/>
          <w:szCs w:val="20"/>
        </w:rPr>
      </w:pPr>
    </w:p>
    <w:p>
      <w:pPr>
        <w:spacing w:after="0" w:line="240" w:lineRule="auto"/>
        <w:rPr>
          <w:rFonts w:hint="default" w:ascii="Arial" w:hAnsi="Arial" w:eastAsia="Arial" w:cs="Arial"/>
          <w:color w:val="auto"/>
          <w:sz w:val="20"/>
          <w:szCs w:val="20"/>
        </w:rPr>
      </w:pPr>
      <w:r>
        <w:rPr>
          <w:rFonts w:hint="default" w:ascii="Arial" w:hAnsi="Arial" w:eastAsia="Arial" w:cs="Arial"/>
          <w:b/>
          <w:color w:val="auto"/>
          <w:sz w:val="20"/>
          <w:szCs w:val="20"/>
        </w:rPr>
        <w:t>Considerações finais</w:t>
      </w:r>
    </w:p>
    <w:tbl>
      <w:tblPr>
        <w:tblStyle w:val="3"/>
        <w:tblW w:w="9300" w:type="dxa"/>
        <w:tblInd w:w="0" w:type="dxa"/>
        <w:tblLayout w:type="fixed"/>
        <w:tblCellMar>
          <w:top w:w="0" w:type="dxa"/>
          <w:left w:w="108" w:type="dxa"/>
          <w:bottom w:w="0" w:type="dxa"/>
          <w:right w:w="108" w:type="dxa"/>
        </w:tblCellMar>
      </w:tblPr>
      <w:tblGrid>
        <w:gridCol w:w="9300"/>
      </w:tblGrid>
      <w:tr>
        <w:tblPrEx>
          <w:tblCellMar>
            <w:top w:w="0" w:type="dxa"/>
            <w:left w:w="108" w:type="dxa"/>
            <w:bottom w:w="0" w:type="dxa"/>
            <w:right w:w="108" w:type="dxa"/>
          </w:tblCellMar>
        </w:tblPrEx>
        <w:tc>
          <w:tcPr>
            <w:tcW w:w="9300" w:type="dxa"/>
            <w:tcBorders>
              <w:top w:val="single" w:color="000000" w:sz="4" w:space="0"/>
              <w:left w:val="single" w:color="000000" w:sz="4" w:space="0"/>
              <w:bottom w:val="single" w:color="000000" w:sz="4" w:space="0"/>
              <w:right w:val="single" w:color="000000" w:sz="4" w:space="0"/>
            </w:tcBorders>
            <w:shd w:val="clear" w:color="auto" w:fill="auto"/>
          </w:tcPr>
          <w:p>
            <w:pPr>
              <w:pStyle w:val="8"/>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O presente projeto de extensão representa uma oportunidade concreta de aplicação integrada dos conhecimentos adquiridos ao longo do 4º semestre do curso de Ciência da Computação da FECAP. Ao desenvolver uma solução real para uma empresa do setor de foodtech, os estudantes exercitam não apenas competências técnicas em ciência de dados, engenharia de software e finanças, mas também habilidades de comunicação, trabalho em equipe e resolução de problemas em contexto real.</w:t>
            </w:r>
          </w:p>
          <w:p>
            <w:pPr>
              <w:pStyle w:val="8"/>
              <w:keepNext w:val="0"/>
              <w:keepLines w:val="0"/>
              <w:widowControl/>
              <w:suppressLineNumbers w:val="0"/>
              <w:spacing w:before="0" w:beforeAutospacing="1" w:after="0" w:afterAutospacing="1"/>
              <w:ind w:left="0" w:right="0"/>
              <w:rPr>
                <w:rFonts w:hint="default" w:ascii="Arial" w:hAnsi="Arial" w:eastAsia="Arial" w:cs="Arial"/>
                <w:color w:val="auto"/>
                <w:sz w:val="20"/>
                <w:szCs w:val="20"/>
              </w:rPr>
            </w:pPr>
            <w:r>
              <w:rPr>
                <w:rFonts w:hint="default" w:ascii="Arial" w:hAnsi="Arial" w:cs="Arial"/>
                <w:sz w:val="20"/>
                <w:szCs w:val="20"/>
              </w:rPr>
              <w:t>O problema central — a ausência de uma ferramenta analítica integrada para apoio à decisão em restaurantes parceiros da Cannoli — é abordado de forma tecnicamente viável e socialmente relevante, com potencial de impacto direto na sustentabilidade dos negócios atendidos pela plataforma. O projeto atende aos objetivos propostos ao propor uma solução completa, documentada e alinhada às melhores práticas de mercado, configurando-se como uma contribuição concreta da universidade para o ecossistema empreendedor local.</w:t>
            </w:r>
          </w:p>
        </w:tc>
      </w:tr>
    </w:tbl>
    <w:p>
      <w:pPr>
        <w:spacing w:after="0" w:line="240" w:lineRule="auto"/>
        <w:rPr>
          <w:rFonts w:hint="default" w:ascii="Arial" w:hAnsi="Arial" w:eastAsia="Arial" w:cs="Arial"/>
          <w:color w:val="auto"/>
          <w:sz w:val="20"/>
          <w:szCs w:val="20"/>
        </w:rPr>
      </w:pPr>
    </w:p>
    <w:p>
      <w:pPr>
        <w:spacing w:after="0" w:line="240" w:lineRule="auto"/>
        <w:rPr>
          <w:rFonts w:hint="default" w:ascii="Arial" w:hAnsi="Arial" w:eastAsia="Arial" w:cs="Arial"/>
          <w:b/>
          <w:color w:val="auto"/>
          <w:sz w:val="20"/>
          <w:szCs w:val="20"/>
        </w:rPr>
      </w:pPr>
      <w:r>
        <w:rPr>
          <w:rFonts w:hint="default" w:ascii="Arial" w:hAnsi="Arial" w:eastAsia="Arial" w:cs="Arial"/>
          <w:b/>
          <w:color w:val="auto"/>
          <w:sz w:val="20"/>
          <w:szCs w:val="20"/>
        </w:rPr>
        <w:t xml:space="preserve">Referências </w:t>
      </w:r>
    </w:p>
    <w:tbl>
      <w:tblPr>
        <w:tblStyle w:val="3"/>
        <w:tblW w:w="9300" w:type="dxa"/>
        <w:tblInd w:w="0" w:type="dxa"/>
        <w:tblLayout w:type="fixed"/>
        <w:tblCellMar>
          <w:top w:w="0" w:type="dxa"/>
          <w:left w:w="108" w:type="dxa"/>
          <w:bottom w:w="0" w:type="dxa"/>
          <w:right w:w="108" w:type="dxa"/>
        </w:tblCellMar>
      </w:tblPr>
      <w:tblGrid>
        <w:gridCol w:w="9300"/>
      </w:tblGrid>
      <w:tr>
        <w:tc>
          <w:tcPr>
            <w:tcW w:w="9300" w:type="dxa"/>
            <w:tcBorders>
              <w:top w:val="single" w:color="000000" w:sz="4" w:space="0"/>
              <w:left w:val="single" w:color="000000" w:sz="4" w:space="0"/>
              <w:bottom w:val="single" w:color="000000" w:sz="4" w:space="0"/>
              <w:right w:val="single" w:color="000000" w:sz="4" w:space="0"/>
            </w:tcBorders>
            <w:shd w:val="clear" w:color="auto" w:fill="auto"/>
          </w:tcPr>
          <w:p>
            <w:pPr>
              <w:pStyle w:val="8"/>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 xml:space="preserve">BRASIL. </w:t>
            </w:r>
            <w:r>
              <w:rPr>
                <w:rStyle w:val="4"/>
                <w:rFonts w:hint="default" w:ascii="Arial" w:hAnsi="Arial" w:cs="Arial"/>
                <w:sz w:val="20"/>
                <w:szCs w:val="20"/>
              </w:rPr>
              <w:t>Lei nº 13.709, de 14 de agosto de 2018</w:t>
            </w:r>
            <w:r>
              <w:rPr>
                <w:rFonts w:hint="default" w:ascii="Arial" w:hAnsi="Arial" w:cs="Arial"/>
                <w:sz w:val="20"/>
                <w:szCs w:val="20"/>
              </w:rPr>
              <w:t xml:space="preserve">. Lei Geral de Proteção de Dados Pessoais (LGPD). Brasília, DF: Presidência da República, 2018. Disponível em: </w:t>
            </w:r>
            <w:r>
              <w:rPr>
                <w:rFonts w:hint="default" w:ascii="Arial" w:hAnsi="Arial" w:cs="Arial"/>
                <w:sz w:val="20"/>
                <w:szCs w:val="20"/>
              </w:rPr>
              <w:fldChar w:fldCharType="begin"/>
            </w:r>
            <w:r>
              <w:rPr>
                <w:rFonts w:hint="default" w:ascii="Arial" w:hAnsi="Arial" w:cs="Arial"/>
                <w:sz w:val="20"/>
                <w:szCs w:val="20"/>
              </w:rPr>
              <w:instrText xml:space="preserve"> HYPERLINK "https://www.planalto.gov.br/ccivil_03/_ato2015-2018/2018/lei/l13709.htm" </w:instrText>
            </w:r>
            <w:r>
              <w:rPr>
                <w:rFonts w:hint="default" w:ascii="Arial" w:hAnsi="Arial" w:cs="Arial"/>
                <w:sz w:val="20"/>
                <w:szCs w:val="20"/>
              </w:rPr>
              <w:fldChar w:fldCharType="separate"/>
            </w:r>
            <w:r>
              <w:rPr>
                <w:rStyle w:val="7"/>
                <w:rFonts w:hint="default" w:ascii="Arial" w:hAnsi="Arial" w:cs="Arial"/>
                <w:sz w:val="20"/>
                <w:szCs w:val="20"/>
              </w:rPr>
              <w:t>https://www.planalto.gov.br/ccivil_03/_ato2015-2018/2018/lei/l13709.htm</w:t>
            </w:r>
            <w:r>
              <w:rPr>
                <w:rFonts w:hint="default" w:ascii="Arial" w:hAnsi="Arial" w:cs="Arial"/>
                <w:sz w:val="20"/>
                <w:szCs w:val="20"/>
              </w:rPr>
              <w:fldChar w:fldCharType="end"/>
            </w:r>
            <w:r>
              <w:rPr>
                <w:rFonts w:hint="default" w:ascii="Arial" w:hAnsi="Arial" w:cs="Arial"/>
                <w:sz w:val="20"/>
                <w:szCs w:val="20"/>
              </w:rPr>
              <w:t>. Acesso em: maio 2026.</w:t>
            </w:r>
          </w:p>
          <w:p>
            <w:pPr>
              <w:pStyle w:val="8"/>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 xml:space="preserve">PROVOST, F.; FAWCETT, T. </w:t>
            </w:r>
            <w:r>
              <w:rPr>
                <w:rStyle w:val="4"/>
                <w:rFonts w:hint="default" w:ascii="Arial" w:hAnsi="Arial" w:cs="Arial"/>
                <w:sz w:val="20"/>
                <w:szCs w:val="20"/>
              </w:rPr>
              <w:t>Data Science for Business: What You Need to Know about Data Mining and Data-Analytic Thinking</w:t>
            </w:r>
            <w:r>
              <w:rPr>
                <w:rFonts w:hint="default" w:ascii="Arial" w:hAnsi="Arial" w:cs="Arial"/>
                <w:sz w:val="20"/>
                <w:szCs w:val="20"/>
              </w:rPr>
              <w:t>. Sebastopol: O'Reilly Media, 2013.</w:t>
            </w:r>
          </w:p>
          <w:p>
            <w:pPr>
              <w:pStyle w:val="8"/>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 xml:space="preserve">SCHWABER, K.; SUTHERLAND, J. </w:t>
            </w:r>
            <w:r>
              <w:rPr>
                <w:rStyle w:val="4"/>
                <w:rFonts w:hint="default" w:ascii="Arial" w:hAnsi="Arial" w:cs="Arial"/>
                <w:sz w:val="20"/>
                <w:szCs w:val="20"/>
              </w:rPr>
              <w:t>The Scrum Guide: The Definitive Guide to Scrum: The Rules of the Game</w:t>
            </w:r>
            <w:r>
              <w:rPr>
                <w:rFonts w:hint="default" w:ascii="Arial" w:hAnsi="Arial" w:cs="Arial"/>
                <w:sz w:val="20"/>
                <w:szCs w:val="20"/>
              </w:rPr>
              <w:t xml:space="preserve">. Scrum.org, 2020. Disponível em: </w:t>
            </w:r>
            <w:r>
              <w:rPr>
                <w:rFonts w:hint="default" w:ascii="Arial" w:hAnsi="Arial" w:cs="Arial"/>
                <w:sz w:val="20"/>
                <w:szCs w:val="20"/>
              </w:rPr>
              <w:fldChar w:fldCharType="begin"/>
            </w:r>
            <w:r>
              <w:rPr>
                <w:rFonts w:hint="default" w:ascii="Arial" w:hAnsi="Arial" w:cs="Arial"/>
                <w:sz w:val="20"/>
                <w:szCs w:val="20"/>
              </w:rPr>
              <w:instrText xml:space="preserve"> HYPERLINK "https://scrumguides.org" </w:instrText>
            </w:r>
            <w:r>
              <w:rPr>
                <w:rFonts w:hint="default" w:ascii="Arial" w:hAnsi="Arial" w:cs="Arial"/>
                <w:sz w:val="20"/>
                <w:szCs w:val="20"/>
              </w:rPr>
              <w:fldChar w:fldCharType="separate"/>
            </w:r>
            <w:r>
              <w:rPr>
                <w:rStyle w:val="7"/>
                <w:rFonts w:hint="default" w:ascii="Arial" w:hAnsi="Arial" w:cs="Arial"/>
                <w:sz w:val="20"/>
                <w:szCs w:val="20"/>
              </w:rPr>
              <w:t>https://scrumguides.org</w:t>
            </w:r>
            <w:r>
              <w:rPr>
                <w:rFonts w:hint="default" w:ascii="Arial" w:hAnsi="Arial" w:cs="Arial"/>
                <w:sz w:val="20"/>
                <w:szCs w:val="20"/>
              </w:rPr>
              <w:fldChar w:fldCharType="end"/>
            </w:r>
            <w:r>
              <w:rPr>
                <w:rFonts w:hint="default" w:ascii="Arial" w:hAnsi="Arial" w:cs="Arial"/>
                <w:sz w:val="20"/>
                <w:szCs w:val="20"/>
              </w:rPr>
              <w:t>. Acesso em: maio 2026.</w:t>
            </w:r>
          </w:p>
          <w:p>
            <w:pPr>
              <w:pStyle w:val="8"/>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 xml:space="preserve">SEBRAE. </w:t>
            </w:r>
            <w:r>
              <w:rPr>
                <w:rStyle w:val="4"/>
                <w:rFonts w:hint="default" w:ascii="Arial" w:hAnsi="Arial" w:cs="Arial"/>
                <w:sz w:val="20"/>
                <w:szCs w:val="20"/>
              </w:rPr>
              <w:t>Tendências e oportunidades no setor de alimentação fora do lar</w:t>
            </w:r>
            <w:r>
              <w:rPr>
                <w:rFonts w:hint="default" w:ascii="Arial" w:hAnsi="Arial" w:cs="Arial"/>
                <w:sz w:val="20"/>
                <w:szCs w:val="20"/>
              </w:rPr>
              <w:t xml:space="preserve">. Brasília: SEBRAE, 2023. Disponível em: </w:t>
            </w:r>
            <w:r>
              <w:rPr>
                <w:rFonts w:hint="default" w:ascii="Arial" w:hAnsi="Arial" w:cs="Arial"/>
                <w:sz w:val="20"/>
                <w:szCs w:val="20"/>
              </w:rPr>
              <w:fldChar w:fldCharType="begin"/>
            </w:r>
            <w:r>
              <w:rPr>
                <w:rFonts w:hint="default" w:ascii="Arial" w:hAnsi="Arial" w:cs="Arial"/>
                <w:sz w:val="20"/>
                <w:szCs w:val="20"/>
              </w:rPr>
              <w:instrText xml:space="preserve"> HYPERLINK "https://www.sebrae.com.br" </w:instrText>
            </w:r>
            <w:r>
              <w:rPr>
                <w:rFonts w:hint="default" w:ascii="Arial" w:hAnsi="Arial" w:cs="Arial"/>
                <w:sz w:val="20"/>
                <w:szCs w:val="20"/>
              </w:rPr>
              <w:fldChar w:fldCharType="separate"/>
            </w:r>
            <w:r>
              <w:rPr>
                <w:rStyle w:val="7"/>
                <w:rFonts w:hint="default" w:ascii="Arial" w:hAnsi="Arial" w:cs="Arial"/>
                <w:sz w:val="20"/>
                <w:szCs w:val="20"/>
              </w:rPr>
              <w:t>https://www.sebrae.com.br</w:t>
            </w:r>
            <w:r>
              <w:rPr>
                <w:rFonts w:hint="default" w:ascii="Arial" w:hAnsi="Arial" w:cs="Arial"/>
                <w:sz w:val="20"/>
                <w:szCs w:val="20"/>
              </w:rPr>
              <w:fldChar w:fldCharType="end"/>
            </w:r>
            <w:r>
              <w:rPr>
                <w:rFonts w:hint="default" w:ascii="Arial" w:hAnsi="Arial" w:cs="Arial"/>
                <w:sz w:val="20"/>
                <w:szCs w:val="20"/>
              </w:rPr>
              <w:t>. Acesso em: maio 2026.</w:t>
            </w:r>
          </w:p>
          <w:p>
            <w:pPr>
              <w:pStyle w:val="8"/>
              <w:keepNext w:val="0"/>
              <w:keepLines w:val="0"/>
              <w:widowControl/>
              <w:suppressLineNumbers w:val="0"/>
              <w:spacing w:before="0" w:beforeAutospacing="1" w:after="0" w:afterAutospacing="1"/>
              <w:ind w:left="0" w:right="0"/>
              <w:rPr>
                <w:rFonts w:hint="default" w:ascii="Arial" w:hAnsi="Arial" w:eastAsia="Arial" w:cs="Arial"/>
                <w:color w:val="auto"/>
                <w:sz w:val="20"/>
                <w:szCs w:val="20"/>
              </w:rPr>
            </w:pPr>
            <w:r>
              <w:rPr>
                <w:rFonts w:hint="default" w:ascii="Arial" w:hAnsi="Arial" w:cs="Arial"/>
                <w:sz w:val="20"/>
                <w:szCs w:val="20"/>
              </w:rPr>
              <w:t xml:space="preserve">SOMMERVILLE, I. </w:t>
            </w:r>
            <w:r>
              <w:rPr>
                <w:rStyle w:val="4"/>
                <w:rFonts w:hint="default" w:ascii="Arial" w:hAnsi="Arial" w:cs="Arial"/>
                <w:sz w:val="20"/>
                <w:szCs w:val="20"/>
              </w:rPr>
              <w:t>Engenharia de Software</w:t>
            </w:r>
            <w:r>
              <w:rPr>
                <w:rFonts w:hint="default" w:ascii="Arial" w:hAnsi="Arial" w:cs="Arial"/>
                <w:sz w:val="20"/>
                <w:szCs w:val="20"/>
              </w:rPr>
              <w:t>. 10. ed. São Paulo: Pearson, 2019.</w:t>
            </w:r>
          </w:p>
        </w:tc>
      </w:tr>
    </w:tbl>
    <w:p>
      <w:pPr>
        <w:spacing w:after="0" w:line="240" w:lineRule="auto"/>
        <w:rPr>
          <w:rFonts w:hint="default" w:ascii="Arial" w:hAnsi="Arial" w:eastAsia="Arial" w:cs="Arial"/>
          <w:b/>
          <w:color w:val="auto"/>
          <w:sz w:val="20"/>
          <w:szCs w:val="20"/>
        </w:rPr>
      </w:pPr>
    </w:p>
    <w:p>
      <w:pPr>
        <w:spacing w:after="0" w:line="240" w:lineRule="auto"/>
        <w:rPr>
          <w:rFonts w:hint="default" w:ascii="Arial" w:hAnsi="Arial" w:eastAsia="Arial" w:cs="Arial"/>
          <w:b/>
          <w:color w:val="auto"/>
          <w:sz w:val="20"/>
          <w:szCs w:val="20"/>
        </w:rPr>
      </w:pPr>
    </w:p>
    <w:p>
      <w:pPr>
        <w:spacing w:after="0" w:line="240" w:lineRule="auto"/>
        <w:rPr>
          <w:rFonts w:hint="default" w:ascii="Arial" w:hAnsi="Arial" w:eastAsia="Arial" w:cs="Arial"/>
          <w:b/>
          <w:color w:val="auto"/>
          <w:sz w:val="20"/>
          <w:szCs w:val="20"/>
        </w:rPr>
      </w:pPr>
    </w:p>
    <w:p>
      <w:pPr>
        <w:spacing w:after="0" w:line="240" w:lineRule="auto"/>
        <w:rPr>
          <w:rFonts w:hint="default" w:ascii="Arial" w:hAnsi="Arial" w:eastAsia="Arial" w:cs="Arial"/>
          <w:b/>
          <w:color w:val="auto"/>
          <w:sz w:val="20"/>
          <w:szCs w:val="20"/>
        </w:rPr>
      </w:pPr>
    </w:p>
    <w:p>
      <w:pPr>
        <w:spacing w:after="0" w:line="240" w:lineRule="auto"/>
        <w:rPr>
          <w:rFonts w:hint="default" w:ascii="Arial" w:hAnsi="Arial" w:eastAsia="Arial" w:cs="Arial"/>
          <w:b/>
          <w:color w:val="auto"/>
          <w:sz w:val="20"/>
          <w:szCs w:val="20"/>
        </w:rPr>
      </w:pPr>
    </w:p>
    <w:p>
      <w:pPr>
        <w:spacing w:after="0" w:line="240" w:lineRule="auto"/>
        <w:jc w:val="center"/>
        <w:rPr>
          <w:rFonts w:hint="default" w:ascii="Arial" w:hAnsi="Arial" w:eastAsia="Arial" w:cs="Arial"/>
          <w:b/>
          <w:color w:val="auto"/>
          <w:sz w:val="20"/>
          <w:szCs w:val="20"/>
        </w:rPr>
      </w:pPr>
    </w:p>
    <w:p>
      <w:pPr>
        <w:spacing w:after="0" w:line="240" w:lineRule="auto"/>
        <w:jc w:val="center"/>
        <w:rPr>
          <w:rFonts w:hint="default" w:ascii="Arial" w:hAnsi="Arial" w:eastAsia="Arial" w:cs="Arial"/>
          <w:b/>
          <w:color w:val="auto"/>
          <w:sz w:val="20"/>
          <w:szCs w:val="20"/>
        </w:rPr>
      </w:pPr>
      <w:r>
        <w:rPr>
          <w:rFonts w:hint="default" w:ascii="Arial" w:hAnsi="Arial" w:eastAsia="Arial" w:cs="Arial"/>
          <w:b/>
          <w:color w:val="auto"/>
          <w:sz w:val="20"/>
          <w:szCs w:val="20"/>
        </w:rPr>
        <w:t>ANEXO I</w:t>
      </w:r>
    </w:p>
    <w:p>
      <w:pPr>
        <w:spacing w:after="0" w:line="240" w:lineRule="auto"/>
        <w:jc w:val="center"/>
        <w:rPr>
          <w:rFonts w:hint="default" w:ascii="Arial" w:hAnsi="Arial" w:eastAsia="Arial" w:cs="Arial"/>
          <w:b/>
          <w:color w:val="auto"/>
          <w:sz w:val="20"/>
          <w:szCs w:val="20"/>
        </w:rPr>
      </w:pPr>
    </w:p>
    <w:tbl>
      <w:tblPr>
        <w:tblStyle w:val="3"/>
        <w:tblW w:w="934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34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5" w:type="dxa"/>
          </w:tcPr>
          <w:p>
            <w:pPr>
              <w:jc w:val="both"/>
              <w:rPr>
                <w:rFonts w:hint="default" w:ascii="Arial" w:hAnsi="Arial" w:eastAsia="Arial" w:cs="Arial"/>
                <w:b/>
                <w:color w:val="auto"/>
                <w:sz w:val="20"/>
                <w:szCs w:val="20"/>
              </w:rPr>
            </w:pPr>
            <w:r>
              <w:rPr>
                <w:rFonts w:hint="default" w:ascii="Arial" w:hAnsi="Arial" w:eastAsia="Arial" w:cs="Arial"/>
                <w:color w:val="auto"/>
                <w:sz w:val="20"/>
                <w:szCs w:val="20"/>
                <w:highlight w:val="white"/>
              </w:rPr>
              <w:t>As atividades de extensão podem resultar em produto caracterizado a partir do fazer extensionista, sempre mediados pela interação dialógica entre a comunidade acadêmica e a sociedade e seus setores, sendo exemplos: softwares; aplicativos; protótipos; desenhos técnicos; patentes; simuladores; objetos de aprendizagem; games; insumos alternativos; processos e procedimentos operativos inovadores; relatórios; relatos de experiências; cartilhas; revistas; manuais; jornais; informativos; livros; anais; cartazes; artigos; resumos; pôster; banner; site; portal; hotsite; fotografia; vídeos; áudios; tutoriais, dentre outros.</w:t>
            </w:r>
          </w:p>
        </w:tc>
      </w:tr>
    </w:tbl>
    <w:p>
      <w:pPr>
        <w:spacing w:after="0" w:line="240" w:lineRule="auto"/>
        <w:jc w:val="center"/>
        <w:rPr>
          <w:rFonts w:hint="default" w:ascii="Arial" w:hAnsi="Arial" w:eastAsia="Arial" w:cs="Arial"/>
          <w:b/>
          <w:color w:val="auto"/>
          <w:sz w:val="20"/>
          <w:szCs w:val="20"/>
        </w:rPr>
      </w:pPr>
    </w:p>
    <w:p>
      <w:pPr>
        <w:spacing w:after="0" w:line="240" w:lineRule="auto"/>
        <w:jc w:val="center"/>
        <w:rPr>
          <w:rFonts w:hint="default" w:ascii="Arial" w:hAnsi="Arial" w:eastAsia="Arial" w:cs="Arial"/>
          <w:b/>
          <w:color w:val="auto"/>
          <w:sz w:val="20"/>
          <w:szCs w:val="20"/>
        </w:rPr>
      </w:pPr>
    </w:p>
    <w:tbl>
      <w:tblPr>
        <w:tblStyle w:val="3"/>
        <w:tblW w:w="943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37"/>
        <w:gridCol w:w="639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37" w:type="dxa"/>
          </w:tcPr>
          <w:p>
            <w:pPr>
              <w:rPr>
                <w:rFonts w:hint="default" w:ascii="Arial" w:hAnsi="Arial" w:eastAsia="Arial" w:cs="Arial"/>
                <w:b/>
                <w:color w:val="auto"/>
                <w:sz w:val="20"/>
                <w:szCs w:val="20"/>
              </w:rPr>
            </w:pPr>
            <w:r>
              <w:rPr>
                <w:rFonts w:hint="default" w:ascii="Arial" w:hAnsi="Arial" w:eastAsia="Arial" w:cs="Arial"/>
                <w:b/>
                <w:color w:val="auto"/>
                <w:sz w:val="20"/>
                <w:szCs w:val="20"/>
              </w:rPr>
              <w:t>Fontes:</w:t>
            </w:r>
          </w:p>
        </w:tc>
        <w:tc>
          <w:tcPr>
            <w:tcW w:w="6398" w:type="dxa"/>
          </w:tcPr>
          <w:p>
            <w:pPr>
              <w:rPr>
                <w:rFonts w:hint="default" w:ascii="Arial" w:hAnsi="Arial" w:eastAsia="Arial" w:cs="Arial"/>
                <w:b/>
                <w:color w:val="auto"/>
                <w:sz w:val="20"/>
                <w:szCs w:val="20"/>
              </w:rPr>
            </w:pPr>
            <w:r>
              <w:rPr>
                <w:rFonts w:hint="default" w:ascii="Arial" w:hAnsi="Arial" w:eastAsia="Arial" w:cs="Arial"/>
                <w:b/>
                <w:color w:val="auto"/>
                <w:sz w:val="20"/>
                <w:szCs w:val="20"/>
              </w:rPr>
              <w:t>Links:</w:t>
            </w:r>
          </w:p>
        </w:tc>
      </w:tr>
    </w:tbl>
    <w:p>
      <w:pPr>
        <w:spacing w:after="0" w:line="240" w:lineRule="auto"/>
        <w:rPr>
          <w:rFonts w:hint="default" w:ascii="Arial" w:hAnsi="Arial" w:eastAsia="Arial" w:cs="Arial"/>
          <w:color w:val="auto"/>
          <w:sz w:val="20"/>
          <w:szCs w:val="20"/>
        </w:rPr>
      </w:pPr>
    </w:p>
    <w:tbl>
      <w:tblPr>
        <w:tblStyle w:val="3"/>
        <w:tblW w:w="934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46"/>
        <w:gridCol w:w="629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3046" w:type="dxa"/>
          </w:tcPr>
          <w:p>
            <w:pPr>
              <w:rPr>
                <w:rFonts w:hint="default" w:ascii="Arial" w:hAnsi="Arial" w:eastAsia="Arial" w:cs="Arial"/>
                <w:b/>
                <w:color w:val="auto"/>
                <w:sz w:val="20"/>
                <w:szCs w:val="20"/>
              </w:rPr>
            </w:pPr>
            <w:r>
              <w:rPr>
                <w:rFonts w:hint="default" w:ascii="Arial" w:hAnsi="Arial" w:eastAsia="Arial" w:cs="Arial"/>
                <w:b/>
                <w:color w:val="auto"/>
                <w:sz w:val="20"/>
                <w:szCs w:val="20"/>
              </w:rPr>
              <w:t>Documentos FECAP</w:t>
            </w:r>
          </w:p>
        </w:tc>
        <w:tc>
          <w:tcPr>
            <w:tcW w:w="6299" w:type="dxa"/>
          </w:tcPr>
          <w:p>
            <w:pPr>
              <w:rPr>
                <w:rFonts w:hint="default" w:ascii="Arial" w:hAnsi="Arial" w:eastAsia="Arial" w:cs="Arial"/>
                <w:color w:val="auto"/>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3046" w:type="dxa"/>
          </w:tcPr>
          <w:p>
            <w:pPr>
              <w:rPr>
                <w:rFonts w:hint="default" w:ascii="Arial" w:hAnsi="Arial" w:eastAsia="Arial" w:cs="Arial"/>
                <w:color w:val="auto"/>
                <w:sz w:val="20"/>
                <w:szCs w:val="20"/>
              </w:rPr>
            </w:pPr>
            <w:r>
              <w:rPr>
                <w:rFonts w:hint="default" w:ascii="Arial" w:hAnsi="Arial" w:eastAsia="Arial" w:cs="Arial"/>
                <w:color w:val="auto"/>
                <w:sz w:val="20"/>
                <w:szCs w:val="20"/>
              </w:rPr>
              <w:t>Regulamento das Atividade de Extensão</w:t>
            </w:r>
          </w:p>
        </w:tc>
        <w:tc>
          <w:tcPr>
            <w:tcW w:w="6299" w:type="dxa"/>
          </w:tcPr>
          <w:p>
            <w:pPr>
              <w:rPr>
                <w:rFonts w:hint="default" w:ascii="Arial" w:hAnsi="Arial" w:eastAsia="Arial" w:cs="Arial"/>
                <w:color w:val="auto"/>
                <w:sz w:val="20"/>
                <w:szCs w:val="20"/>
              </w:rPr>
            </w:pPr>
          </w:p>
        </w:tc>
      </w:tr>
    </w:tbl>
    <w:p>
      <w:pPr>
        <w:spacing w:after="0" w:line="240" w:lineRule="auto"/>
        <w:rPr>
          <w:rFonts w:hint="default" w:ascii="Arial" w:hAnsi="Arial" w:eastAsia="Arial" w:cs="Arial"/>
          <w:color w:val="auto"/>
          <w:sz w:val="20"/>
          <w:szCs w:val="20"/>
        </w:rPr>
      </w:pPr>
    </w:p>
    <w:p>
      <w:pPr>
        <w:rPr>
          <w:rFonts w:hint="default" w:ascii="Arial" w:hAnsi="Arial" w:cs="Arial"/>
          <w:color w:val="auto"/>
          <w:sz w:val="20"/>
          <w:szCs w:val="20"/>
        </w:rPr>
      </w:pPr>
    </w:p>
    <w:p>
      <w:pPr>
        <w:ind w:left="-851"/>
        <w:rPr>
          <w:rFonts w:hint="default" w:ascii="Arial" w:hAnsi="Arial" w:cs="Arial"/>
          <w:color w:val="auto"/>
          <w:sz w:val="20"/>
          <w:szCs w:val="20"/>
        </w:rPr>
      </w:pPr>
      <w:r>
        <w:rPr>
          <w:rFonts w:hint="default" w:ascii="Arial" w:hAnsi="Arial" w:cs="Arial"/>
          <w:color w:val="auto"/>
          <w:sz w:val="20"/>
          <w:szCs w:val="20"/>
        </w:rPr>
        <w:t>Versão 2.0 – 10/2024</w:t>
      </w:r>
    </w:p>
    <w:sectPr>
      <w:headerReference r:id="rId7" w:type="first"/>
      <w:footerReference r:id="rId10" w:type="first"/>
      <w:headerReference r:id="rId5" w:type="default"/>
      <w:footerReference r:id="rId8" w:type="default"/>
      <w:headerReference r:id="rId6" w:type="even"/>
      <w:footerReference r:id="rId9" w:type="even"/>
      <w:pgSz w:w="11906" w:h="16838"/>
      <w:pgMar w:top="1985" w:right="991" w:bottom="1560"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panose1 w:val="020B0606030804020204"/>
    <w:charset w:val="00"/>
    <w:family w:val="auto"/>
    <w:pitch w:val="default"/>
    <w:sig w:usb0="E7006EFF" w:usb1="D200FDFF" w:usb2="0A246029" w:usb3="0400200C" w:csb0="600001FF" w:csb1="DFFF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DejaVu Sans"/>
    <w:panose1 w:val="00000000000000000000"/>
    <w:charset w:val="00"/>
    <w:family w:val="auto"/>
    <w:pitch w:val="default"/>
    <w:sig w:usb0="00000000" w:usb1="00000000" w:usb2="00000000" w:usb3="00000000" w:csb0="00000000" w:csb1="00000000"/>
  </w:font>
  <w:font w:name="Arial Unicode MS">
    <w:altName w:val="DejaVu Sans"/>
    <w:panose1 w:val="020B0604020202020204"/>
    <w:charset w:val="00"/>
    <w:family w:val="auto"/>
    <w:pitch w:val="default"/>
    <w:sig w:usb0="00000000" w:usb1="00000000" w:usb2="00000000" w:usb3="00000000" w:csb0="00000000" w:csb1="00000000"/>
  </w:font>
  <w:font w:name="Caladea">
    <w:panose1 w:val="02040503050406030204"/>
    <w:charset w:val="00"/>
    <w:family w:val="auto"/>
    <w:pitch w:val="default"/>
    <w:sig w:usb0="00000007" w:usb1="00000000" w:usb2="00000000" w:usb3="00000000" w:csb0="20000093" w:csb1="00000000"/>
  </w:font>
  <w:font w:name="Fira Code Light">
    <w:panose1 w:val="00000000000000000000"/>
    <w:charset w:val="00"/>
    <w:family w:val="auto"/>
    <w:pitch w:val="default"/>
    <w:sig w:usb0="E00002EF" w:usb1="1201F9FB" w:usb2="02002038" w:usb3="00000000" w:csb0="6000009F" w:csb1="DFD70000"/>
  </w:font>
  <w:font w:name="LMMono10">
    <w:panose1 w:val="020B0606030804020204"/>
    <w:charset w:val="00"/>
    <w:family w:val="auto"/>
    <w:pitch w:val="default"/>
    <w:sig w:usb0="E7006EFF" w:usb1="D200FDFF" w:usb2="0A246029" w:usb3="0400200C" w:csb0="600001FF" w:csb1="DFFF0000"/>
  </w:font>
  <w:font w:name="Adwaita Sans">
    <w:altName w:val="Quicksand Light"/>
    <w:panose1 w:val="00000000000000000000"/>
    <w:charset w:val="00"/>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 w:name="Symbol">
    <w:panose1 w:val="020B0606030804020204"/>
    <w:charset w:val="00"/>
    <w:family w:val="auto"/>
    <w:pitch w:val="default"/>
    <w:sig w:usb0="E7006EFF" w:usb1="D200FDFF" w:usb2="0A246029" w:usb3="0400200C" w:csb0="600001FF" w:csb1="DFFF0000"/>
  </w:font>
  <w:font w:name="Calibri Light">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drawing>
        <wp:anchor distT="0" distB="0" distL="114300" distR="114300" simplePos="0" relativeHeight="251659264" behindDoc="1" locked="0" layoutInCell="1" allowOverlap="1">
          <wp:simplePos x="0" y="0"/>
          <wp:positionH relativeFrom="page">
            <wp:posOffset>10795</wp:posOffset>
          </wp:positionH>
          <wp:positionV relativeFrom="paragraph">
            <wp:posOffset>-449580</wp:posOffset>
          </wp:positionV>
          <wp:extent cx="7569200" cy="10706100"/>
          <wp:effectExtent l="0" t="0" r="635" b="0"/>
          <wp:wrapNone/>
          <wp:docPr id="118" name="Image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m 11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68945" cy="107064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A21CBB"/>
    <w:multiLevelType w:val="multilevel"/>
    <w:tmpl w:val="8DA21C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E5E7E38"/>
    <w:multiLevelType w:val="multilevel"/>
    <w:tmpl w:val="9E5E7E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FDFB736"/>
    <w:multiLevelType w:val="multilevel"/>
    <w:tmpl w:val="BFDFB7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DEF576E1"/>
    <w:multiLevelType w:val="multilevel"/>
    <w:tmpl w:val="DEF576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EFDDE97D"/>
    <w:multiLevelType w:val="multilevel"/>
    <w:tmpl w:val="EFDDE97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7913EB3"/>
    <w:multiLevelType w:val="multilevel"/>
    <w:tmpl w:val="17913EB3"/>
    <w:lvl w:ilvl="0" w:tentative="0">
      <w:start w:val="1"/>
      <w:numFmt w:val="bullet"/>
      <w:lvlText w:val="●"/>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5"/>
  </w:num>
  <w:num w:numId="2">
    <w:abstractNumId w:val="1"/>
  </w:num>
  <w:num w:numId="3">
    <w:abstractNumId w:val="3"/>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5C6"/>
    <w:rsid w:val="000425C6"/>
    <w:rsid w:val="002C6CE7"/>
    <w:rsid w:val="003347CA"/>
    <w:rsid w:val="007F0CAA"/>
    <w:rsid w:val="00831B07"/>
    <w:rsid w:val="008E7EFD"/>
    <w:rsid w:val="009D304C"/>
    <w:rsid w:val="00CB021E"/>
    <w:rsid w:val="00E101C8"/>
    <w:rsid w:val="00E154CB"/>
    <w:rsid w:val="00FB3E2D"/>
    <w:rsid w:val="EDFC9234"/>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pt-BR"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Emphasis"/>
    <w:basedOn w:val="2"/>
    <w:qFormat/>
    <w:uiPriority w:val="20"/>
    <w:rPr>
      <w:i/>
      <w:iCs/>
    </w:rPr>
  </w:style>
  <w:style w:type="paragraph" w:styleId="5">
    <w:name w:val="footer"/>
    <w:basedOn w:val="1"/>
    <w:link w:val="11"/>
    <w:unhideWhenUsed/>
    <w:qFormat/>
    <w:uiPriority w:val="99"/>
    <w:pPr>
      <w:tabs>
        <w:tab w:val="center" w:pos="4252"/>
        <w:tab w:val="right" w:pos="8504"/>
      </w:tabs>
      <w:spacing w:after="0" w:line="240" w:lineRule="auto"/>
    </w:pPr>
  </w:style>
  <w:style w:type="paragraph" w:styleId="6">
    <w:name w:val="header"/>
    <w:basedOn w:val="1"/>
    <w:link w:val="10"/>
    <w:unhideWhenUsed/>
    <w:qFormat/>
    <w:uiPriority w:val="99"/>
    <w:pPr>
      <w:tabs>
        <w:tab w:val="center" w:pos="4252"/>
        <w:tab w:val="right" w:pos="8504"/>
      </w:tabs>
      <w:spacing w:after="0" w:line="240" w:lineRule="auto"/>
    </w:pPr>
  </w:style>
  <w:style w:type="character" w:styleId="7">
    <w:name w:val="Hyperlink"/>
    <w:basedOn w:val="2"/>
    <w:semiHidden/>
    <w:unhideWhenUsed/>
    <w:uiPriority w:val="99"/>
    <w:rPr>
      <w:color w:val="0000FF"/>
      <w:u w:val="single"/>
    </w:rPr>
  </w:style>
  <w:style w:type="paragraph" w:styleId="8">
    <w:name w:val="Normal (Web)"/>
    <w:basedOn w:val="1"/>
    <w:semiHidden/>
    <w:unhideWhenUsed/>
    <w:uiPriority w:val="99"/>
    <w:rPr>
      <w:sz w:val="24"/>
      <w:szCs w:val="24"/>
    </w:rPr>
  </w:style>
  <w:style w:type="character" w:styleId="9">
    <w:name w:val="Strong"/>
    <w:basedOn w:val="2"/>
    <w:qFormat/>
    <w:uiPriority w:val="22"/>
    <w:rPr>
      <w:b/>
      <w:bCs/>
    </w:rPr>
  </w:style>
  <w:style w:type="character" w:customStyle="1" w:styleId="10">
    <w:name w:val="Cabeçalho Char"/>
    <w:basedOn w:val="2"/>
    <w:link w:val="6"/>
    <w:qFormat/>
    <w:uiPriority w:val="99"/>
  </w:style>
  <w:style w:type="character" w:customStyle="1" w:styleId="11">
    <w:name w:val="Rodapé Char"/>
    <w:basedOn w:val="2"/>
    <w:link w:val="5"/>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FECAP</Company>
  <Pages>6</Pages>
  <Words>2268</Words>
  <Characters>13743</Characters>
  <Lines>55</Lines>
  <Paragraphs>15</Paragraphs>
  <TotalTime>7</TotalTime>
  <ScaleCrop>false</ScaleCrop>
  <LinksUpToDate>false</LinksUpToDate>
  <CharactersWithSpaces>15918</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2025-03-10T11:37:00Z</dcterms:created>
  <dc:creator>Pedro Ivo Silva Oliveira</dc:creator>
  <cp:lastModifiedBy>vinishireis</cp:lastModifiedBy>
  <dcterms:modified xsi:type="dcterms:W3CDTF">2026-05-06T20:02:33Z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0x01010045364877AF745B4281652B53F43C594A</vt:lpwstr>
  </property>
  <property fmtid="{D5CDD505-2E9C-101B-9397-08002B2CF9AE}" pid="3" name="MediaServiceImageTags">
    <vt:lpwstr/>
  </property>
  <property fmtid="{D5CDD505-2E9C-101B-9397-08002B2CF9AE}" pid="4" name="KSOProductBuildVer">
    <vt:lpwstr>1033-11.1.0.11723</vt:lpwstr>
  </property>
</Properties>
</file>