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94376" w14:textId="77777777" w:rsidR="006250A1" w:rsidRDefault="006250A1" w:rsidP="003D45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pt-BR"/>
        </w:rPr>
        <w:t>RELATÓRIO DE ENTREGA 02: ANÁLISE DESCRITIVA E ESTATÍSTICA – PROJETO CANNOLI</w:t>
      </w:r>
    </w:p>
    <w:p w14:paraId="3D65D343" w14:textId="1631CDDA" w:rsidR="006250A1" w:rsidRDefault="006250A1" w:rsidP="003D45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pt-BR"/>
        </w:rPr>
        <w:t>Curso: Ciência da Computação (4CCOMP)</w:t>
      </w:r>
    </w:p>
    <w:p w14:paraId="7C7EA364" w14:textId="6C070492" w:rsidR="006250A1" w:rsidRDefault="006250A1" w:rsidP="003D45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pt-BR"/>
        </w:rPr>
        <w:t xml:space="preserve">Disciplina: Projeto Interdisciplinar – Análise Inferencial de Dados </w:t>
      </w:r>
    </w:p>
    <w:p w14:paraId="2715D3F6" w14:textId="77777777" w:rsidR="006250A1" w:rsidRDefault="006250A1" w:rsidP="003D45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pt-BR"/>
        </w:rPr>
      </w:pPr>
    </w:p>
    <w:p w14:paraId="110CB9BD" w14:textId="06668C02" w:rsidR="003D458A" w:rsidRPr="003D458A" w:rsidRDefault="003D458A" w:rsidP="003D45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pt-BR"/>
        </w:rPr>
      </w:pPr>
      <w:r w:rsidRPr="003D458A">
        <w:rPr>
          <w:rFonts w:ascii="Arial" w:eastAsia="Times New Roman" w:hAnsi="Arial" w:cs="Arial"/>
          <w:b/>
          <w:bCs/>
          <w:sz w:val="24"/>
          <w:szCs w:val="24"/>
          <w:lang w:val="pt-BR"/>
        </w:rPr>
        <w:t>1. Definição do Modelo: Regressão Linear Simples</w:t>
      </w:r>
    </w:p>
    <w:p w14:paraId="303E5151" w14:textId="77777777" w:rsidR="003D458A" w:rsidRPr="003D458A" w:rsidRDefault="003D458A" w:rsidP="003D4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/>
        </w:rPr>
      </w:pPr>
      <w:r w:rsidRPr="003D458A">
        <w:rPr>
          <w:rFonts w:ascii="Arial" w:eastAsia="Times New Roman" w:hAnsi="Arial" w:cs="Arial"/>
          <w:sz w:val="24"/>
          <w:szCs w:val="24"/>
          <w:lang w:val="pt-BR"/>
        </w:rPr>
        <w:t>Para explorar a relação entre</w:t>
      </w:r>
      <w:r w:rsidR="00D72EB5">
        <w:rPr>
          <w:rFonts w:ascii="Arial" w:eastAsia="Times New Roman" w:hAnsi="Arial" w:cs="Arial"/>
          <w:sz w:val="24"/>
          <w:szCs w:val="24"/>
          <w:lang w:val="pt-BR"/>
        </w:rPr>
        <w:t xml:space="preserve"> o crescimento e o faturamento, foi utilizado</w:t>
      </w:r>
      <w:r w:rsidRPr="003D458A">
        <w:rPr>
          <w:rFonts w:ascii="Arial" w:eastAsia="Times New Roman" w:hAnsi="Arial" w:cs="Arial"/>
          <w:sz w:val="24"/>
          <w:szCs w:val="24"/>
          <w:lang w:val="pt-BR"/>
        </w:rPr>
        <w:t xml:space="preserve"> a </w:t>
      </w:r>
      <w:r w:rsidRPr="003D458A">
        <w:rPr>
          <w:rFonts w:ascii="Arial" w:eastAsia="Times New Roman" w:hAnsi="Arial" w:cs="Arial"/>
          <w:b/>
          <w:bCs/>
          <w:sz w:val="24"/>
          <w:szCs w:val="24"/>
          <w:lang w:val="pt-BR"/>
        </w:rPr>
        <w:t>Receita Mensal</w:t>
      </w:r>
      <w:r w:rsidRPr="003D458A">
        <w:rPr>
          <w:rFonts w:ascii="Arial" w:eastAsia="Times New Roman" w:hAnsi="Arial" w:cs="Arial"/>
          <w:sz w:val="24"/>
          <w:szCs w:val="24"/>
          <w:lang w:val="pt-BR"/>
        </w:rPr>
        <w:t xml:space="preserve"> como variável dependente (</w:t>
      </w:r>
      <w:r w:rsidR="00D72EB5">
        <w:rPr>
          <w:rFonts w:ascii="Arial" w:eastAsia="Times New Roman" w:hAnsi="Arial" w:cs="Arial"/>
          <w:sz w:val="24"/>
          <w:szCs w:val="24"/>
          <w:lang w:val="pt-BR"/>
        </w:rPr>
        <w:t>Y</w:t>
      </w:r>
      <w:r w:rsidRPr="003D458A">
        <w:rPr>
          <w:rFonts w:ascii="Arial" w:eastAsia="Times New Roman" w:hAnsi="Arial" w:cs="Arial"/>
          <w:sz w:val="24"/>
          <w:szCs w:val="24"/>
          <w:lang w:val="pt-BR"/>
        </w:rPr>
        <w:t xml:space="preserve">) e o </w:t>
      </w:r>
      <w:r w:rsidRPr="003D458A">
        <w:rPr>
          <w:rFonts w:ascii="Arial" w:eastAsia="Times New Roman" w:hAnsi="Arial" w:cs="Arial"/>
          <w:b/>
          <w:bCs/>
          <w:sz w:val="24"/>
          <w:szCs w:val="24"/>
          <w:lang w:val="pt-BR"/>
        </w:rPr>
        <w:t>Tempo (Meses)</w:t>
      </w:r>
      <w:r w:rsidRPr="003D458A">
        <w:rPr>
          <w:rFonts w:ascii="Arial" w:eastAsia="Times New Roman" w:hAnsi="Arial" w:cs="Arial"/>
          <w:sz w:val="24"/>
          <w:szCs w:val="24"/>
          <w:lang w:val="pt-BR"/>
        </w:rPr>
        <w:t xml:space="preserve"> como variável independente (</w:t>
      </w:r>
      <w:r w:rsidR="00D72EB5">
        <w:rPr>
          <w:rFonts w:ascii="Arial" w:eastAsia="Times New Roman" w:hAnsi="Arial" w:cs="Arial"/>
          <w:sz w:val="24"/>
          <w:szCs w:val="24"/>
          <w:lang w:val="pt-BR"/>
        </w:rPr>
        <w:t>X</w:t>
      </w:r>
      <w:r w:rsidRPr="003D458A">
        <w:rPr>
          <w:rFonts w:ascii="Arial" w:eastAsia="Times New Roman" w:hAnsi="Arial" w:cs="Arial"/>
          <w:sz w:val="24"/>
          <w:szCs w:val="24"/>
          <w:lang w:val="pt-BR"/>
        </w:rPr>
        <w:t>).</w:t>
      </w:r>
    </w:p>
    <w:p w14:paraId="61C2591B" w14:textId="77777777" w:rsidR="003D458A" w:rsidRPr="003D458A" w:rsidRDefault="003D458A" w:rsidP="003D45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/>
        </w:rPr>
      </w:pPr>
      <w:r w:rsidRPr="003D458A">
        <w:rPr>
          <w:rFonts w:ascii="Arial" w:eastAsia="Times New Roman" w:hAnsi="Arial" w:cs="Arial"/>
          <w:b/>
          <w:bCs/>
          <w:sz w:val="24"/>
          <w:szCs w:val="24"/>
          <w:lang w:val="pt-BR"/>
        </w:rPr>
        <w:t>Variável Dependente (</w:t>
      </w:r>
      <w:r w:rsidR="00D72EB5">
        <w:rPr>
          <w:rFonts w:ascii="Arial" w:eastAsia="Times New Roman" w:hAnsi="Arial" w:cs="Arial"/>
          <w:b/>
          <w:bCs/>
          <w:sz w:val="24"/>
          <w:szCs w:val="24"/>
          <w:lang w:val="pt-BR"/>
        </w:rPr>
        <w:t>Y</w:t>
      </w:r>
      <w:r w:rsidRPr="003D458A">
        <w:rPr>
          <w:rFonts w:ascii="Arial" w:eastAsia="Times New Roman" w:hAnsi="Arial" w:cs="Arial"/>
          <w:b/>
          <w:bCs/>
          <w:sz w:val="24"/>
          <w:szCs w:val="24"/>
          <w:lang w:val="pt-BR"/>
        </w:rPr>
        <w:t>):</w:t>
      </w:r>
      <w:r w:rsidRPr="003D458A">
        <w:rPr>
          <w:rFonts w:ascii="Arial" w:eastAsia="Times New Roman" w:hAnsi="Arial" w:cs="Arial"/>
          <w:sz w:val="24"/>
          <w:szCs w:val="24"/>
          <w:lang w:val="pt-BR"/>
        </w:rPr>
        <w:t xml:space="preserve"> Faturamento (que chegou a </w:t>
      </w:r>
      <w:r w:rsidRPr="003D458A">
        <w:rPr>
          <w:rFonts w:ascii="Arial" w:eastAsia="Times New Roman" w:hAnsi="Arial" w:cs="Arial"/>
          <w:b/>
          <w:bCs/>
          <w:sz w:val="24"/>
          <w:szCs w:val="24"/>
          <w:lang w:val="pt-BR"/>
        </w:rPr>
        <w:t>R$ 6.197.092,97</w:t>
      </w:r>
      <w:r w:rsidRPr="003D458A">
        <w:rPr>
          <w:rFonts w:ascii="Arial" w:eastAsia="Times New Roman" w:hAnsi="Arial" w:cs="Arial"/>
          <w:sz w:val="24"/>
          <w:szCs w:val="24"/>
          <w:lang w:val="pt-BR"/>
        </w:rPr>
        <w:t xml:space="preserve"> no acumulado).</w:t>
      </w:r>
    </w:p>
    <w:p w14:paraId="77E141FD" w14:textId="77777777" w:rsidR="003D458A" w:rsidRPr="003D458A" w:rsidRDefault="003D458A" w:rsidP="006D74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/>
        </w:rPr>
      </w:pPr>
      <w:r w:rsidRPr="003D458A">
        <w:rPr>
          <w:rFonts w:ascii="Arial" w:eastAsia="Times New Roman" w:hAnsi="Arial" w:cs="Arial"/>
          <w:b/>
          <w:bCs/>
          <w:sz w:val="24"/>
          <w:szCs w:val="24"/>
          <w:lang w:val="pt-BR"/>
        </w:rPr>
        <w:t>Variável Independente (</w:t>
      </w:r>
      <w:r w:rsidR="00D72EB5">
        <w:rPr>
          <w:rFonts w:ascii="Arial" w:eastAsia="Times New Roman" w:hAnsi="Arial" w:cs="Arial"/>
          <w:b/>
          <w:bCs/>
          <w:sz w:val="24"/>
          <w:szCs w:val="24"/>
          <w:lang w:val="pt-BR"/>
        </w:rPr>
        <w:t>X</w:t>
      </w:r>
      <w:r w:rsidRPr="003D458A">
        <w:rPr>
          <w:rFonts w:ascii="Arial" w:eastAsia="Times New Roman" w:hAnsi="Arial" w:cs="Arial"/>
          <w:b/>
          <w:bCs/>
          <w:sz w:val="24"/>
          <w:szCs w:val="24"/>
          <w:lang w:val="pt-BR"/>
        </w:rPr>
        <w:t>):</w:t>
      </w:r>
      <w:r w:rsidRPr="003D458A">
        <w:rPr>
          <w:rFonts w:ascii="Arial" w:eastAsia="Times New Roman" w:hAnsi="Arial" w:cs="Arial"/>
          <w:sz w:val="24"/>
          <w:szCs w:val="24"/>
          <w:lang w:val="pt-BR"/>
        </w:rPr>
        <w:t xml:space="preserve"> Meses de operação (1 a 9, focando no período estabilizado).</w:t>
      </w:r>
    </w:p>
    <w:p w14:paraId="17AD774E" w14:textId="77777777" w:rsidR="003D458A" w:rsidRPr="003D458A" w:rsidRDefault="003D458A" w:rsidP="003D45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pt-BR"/>
        </w:rPr>
      </w:pPr>
      <w:r w:rsidRPr="003D458A">
        <w:rPr>
          <w:rFonts w:ascii="Arial" w:eastAsia="Times New Roman" w:hAnsi="Arial" w:cs="Arial"/>
          <w:b/>
          <w:bCs/>
          <w:sz w:val="24"/>
          <w:szCs w:val="24"/>
          <w:lang w:val="pt-BR"/>
        </w:rPr>
        <w:t>2. Interpretação dos Coeficientes</w:t>
      </w:r>
    </w:p>
    <w:p w14:paraId="74C6B07E" w14:textId="752F7E72" w:rsidR="003D458A" w:rsidRPr="003D458A" w:rsidRDefault="003D458A" w:rsidP="003D4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/>
        </w:rPr>
      </w:pPr>
      <w:r w:rsidRPr="003D458A">
        <w:rPr>
          <w:rFonts w:ascii="Arial" w:eastAsia="Times New Roman" w:hAnsi="Arial" w:cs="Arial"/>
          <w:sz w:val="24"/>
          <w:szCs w:val="24"/>
          <w:lang w:val="pt-BR"/>
        </w:rPr>
        <w:t xml:space="preserve">Ao ajustar a reta de regressão </w:t>
      </w:r>
      <w:r w:rsidR="00D72EB5">
        <w:rPr>
          <w:noProof/>
        </w:rPr>
        <w:drawing>
          <wp:inline distT="0" distB="0" distL="0" distR="0" wp14:anchorId="6A1D789A" wp14:editId="61DF4147">
            <wp:extent cx="1266825" cy="2381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2EB5">
        <w:rPr>
          <w:rFonts w:ascii="Arial" w:eastAsia="Times New Roman" w:hAnsi="Arial" w:cs="Arial"/>
          <w:sz w:val="24"/>
          <w:szCs w:val="24"/>
          <w:lang w:val="pt-BR"/>
        </w:rPr>
        <w:t xml:space="preserve"> </w:t>
      </w:r>
      <w:r w:rsidR="006250A1">
        <w:rPr>
          <w:rFonts w:ascii="Arial" w:eastAsia="Times New Roman" w:hAnsi="Arial" w:cs="Arial"/>
          <w:sz w:val="24"/>
          <w:szCs w:val="24"/>
          <w:lang w:val="pt-BR"/>
        </w:rPr>
        <w:t>foi interpretado</w:t>
      </w:r>
      <w:r w:rsidRPr="003D458A">
        <w:rPr>
          <w:rFonts w:ascii="Arial" w:eastAsia="Times New Roman" w:hAnsi="Arial" w:cs="Arial"/>
          <w:sz w:val="24"/>
          <w:szCs w:val="24"/>
          <w:lang w:val="pt-BR"/>
        </w:rPr>
        <w:t>:</w:t>
      </w:r>
    </w:p>
    <w:p w14:paraId="056DC4B8" w14:textId="77777777" w:rsidR="003D458A" w:rsidRPr="003D458A" w:rsidRDefault="003D458A" w:rsidP="003D45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/>
        </w:rPr>
      </w:pPr>
      <w:r w:rsidRPr="003D458A">
        <w:rPr>
          <w:rFonts w:ascii="Arial" w:eastAsia="Times New Roman" w:hAnsi="Arial" w:cs="Arial"/>
          <w:b/>
          <w:bCs/>
          <w:sz w:val="24"/>
          <w:szCs w:val="24"/>
          <w:lang w:val="pt-BR"/>
        </w:rPr>
        <w:t>Intercepto (beta_0):</w:t>
      </w:r>
      <w:r w:rsidRPr="003D458A">
        <w:rPr>
          <w:rFonts w:ascii="Arial" w:eastAsia="Times New Roman" w:hAnsi="Arial" w:cs="Arial"/>
          <w:sz w:val="24"/>
          <w:szCs w:val="24"/>
          <w:lang w:val="pt-BR"/>
        </w:rPr>
        <w:t xml:space="preserve"> Representa o faturamento inicial estimado no "mês zero" da análise.</w:t>
      </w:r>
    </w:p>
    <w:p w14:paraId="5F206C88" w14:textId="77777777" w:rsidR="003D458A" w:rsidRPr="003D458A" w:rsidRDefault="003D458A" w:rsidP="003D45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/>
        </w:rPr>
      </w:pPr>
      <w:r w:rsidRPr="003D458A">
        <w:rPr>
          <w:rFonts w:ascii="Arial" w:eastAsia="Times New Roman" w:hAnsi="Arial" w:cs="Arial"/>
          <w:b/>
          <w:bCs/>
          <w:sz w:val="24"/>
          <w:szCs w:val="24"/>
          <w:lang w:val="pt-BR"/>
        </w:rPr>
        <w:t>Coeficiente Angular (</w:t>
      </w:r>
      <w:r w:rsidR="00D72EB5">
        <w:rPr>
          <w:rFonts w:ascii="Arial" w:eastAsia="Times New Roman" w:hAnsi="Arial" w:cs="Arial"/>
          <w:b/>
          <w:bCs/>
          <w:sz w:val="24"/>
          <w:szCs w:val="24"/>
          <w:lang w:val="pt-BR"/>
        </w:rPr>
        <w:t>beta_1</w:t>
      </w:r>
      <w:r w:rsidRPr="003D458A">
        <w:rPr>
          <w:rFonts w:ascii="Arial" w:eastAsia="Times New Roman" w:hAnsi="Arial" w:cs="Arial"/>
          <w:b/>
          <w:bCs/>
          <w:sz w:val="24"/>
          <w:szCs w:val="24"/>
          <w:lang w:val="pt-BR"/>
        </w:rPr>
        <w:t>):</w:t>
      </w:r>
      <w:r w:rsidRPr="003D458A">
        <w:rPr>
          <w:rFonts w:ascii="Arial" w:eastAsia="Times New Roman" w:hAnsi="Arial" w:cs="Arial"/>
          <w:sz w:val="24"/>
          <w:szCs w:val="24"/>
          <w:lang w:val="pt-BR"/>
        </w:rPr>
        <w:t xml:space="preserve"> Indica quanto a receita cresce, em média, a cada mês adicional. No caso desta base, espera-se um </w:t>
      </w:r>
      <w:r w:rsidR="00D72EB5">
        <w:rPr>
          <w:rFonts w:ascii="Arial" w:eastAsia="Times New Roman" w:hAnsi="Arial" w:cs="Arial"/>
          <w:sz w:val="24"/>
          <w:szCs w:val="24"/>
          <w:lang w:val="pt-BR"/>
        </w:rPr>
        <w:t>beta_1</w:t>
      </w:r>
      <w:r w:rsidRPr="003D458A">
        <w:rPr>
          <w:rFonts w:ascii="Arial" w:eastAsia="Times New Roman" w:hAnsi="Arial" w:cs="Arial"/>
          <w:sz w:val="24"/>
          <w:szCs w:val="24"/>
          <w:lang w:val="pt-BR"/>
        </w:rPr>
        <w:t xml:space="preserve"> positivo e alto, dado o </w:t>
      </w:r>
      <w:r w:rsidRPr="003D458A">
        <w:rPr>
          <w:rFonts w:ascii="Arial" w:eastAsia="Times New Roman" w:hAnsi="Arial" w:cs="Arial"/>
          <w:b/>
          <w:bCs/>
          <w:sz w:val="24"/>
          <w:szCs w:val="24"/>
          <w:lang w:val="pt-BR"/>
        </w:rPr>
        <w:t>CMGR de 28,01%</w:t>
      </w:r>
      <w:r w:rsidRPr="003D458A">
        <w:rPr>
          <w:rFonts w:ascii="Arial" w:eastAsia="Times New Roman" w:hAnsi="Arial" w:cs="Arial"/>
          <w:sz w:val="24"/>
          <w:szCs w:val="24"/>
          <w:lang w:val="pt-BR"/>
        </w:rPr>
        <w:t>.</w:t>
      </w:r>
    </w:p>
    <w:p w14:paraId="79F08541" w14:textId="77777777" w:rsidR="003D458A" w:rsidRPr="003D458A" w:rsidRDefault="003D458A" w:rsidP="00D72E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/>
        </w:rPr>
      </w:pPr>
      <w:r w:rsidRPr="003D458A">
        <w:rPr>
          <w:rFonts w:ascii="Arial" w:eastAsia="Times New Roman" w:hAnsi="Arial" w:cs="Arial"/>
          <w:i/>
          <w:iCs/>
          <w:sz w:val="24"/>
          <w:szCs w:val="24"/>
          <w:lang w:val="pt-BR"/>
        </w:rPr>
        <w:t>Exemplo de interpretação:</w:t>
      </w:r>
      <w:r w:rsidRPr="003D458A">
        <w:rPr>
          <w:rFonts w:ascii="Arial" w:eastAsia="Times New Roman" w:hAnsi="Arial" w:cs="Arial"/>
          <w:sz w:val="24"/>
          <w:szCs w:val="24"/>
          <w:lang w:val="pt-BR"/>
        </w:rPr>
        <w:t xml:space="preserve"> "Para cada mês de operação, a receita média da rede aumenta em R$ [valor do coeficiente]".</w:t>
      </w:r>
    </w:p>
    <w:p w14:paraId="1B350561" w14:textId="77777777" w:rsidR="003D458A" w:rsidRPr="003D458A" w:rsidRDefault="003D458A" w:rsidP="003D45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pt-BR"/>
        </w:rPr>
      </w:pPr>
      <w:r w:rsidRPr="003D458A">
        <w:rPr>
          <w:rFonts w:ascii="Arial" w:eastAsia="Times New Roman" w:hAnsi="Arial" w:cs="Arial"/>
          <w:b/>
          <w:bCs/>
          <w:sz w:val="24"/>
          <w:szCs w:val="24"/>
          <w:lang w:val="pt-BR"/>
        </w:rPr>
        <w:t>3. Avaliação da Qualidade do Ajuste</w:t>
      </w:r>
    </w:p>
    <w:p w14:paraId="5C1C09F7" w14:textId="77777777" w:rsidR="003D458A" w:rsidRPr="003D458A" w:rsidRDefault="003D458A" w:rsidP="003D4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/>
        </w:rPr>
      </w:pPr>
      <w:r w:rsidRPr="003D458A">
        <w:rPr>
          <w:rFonts w:ascii="Arial" w:eastAsia="Times New Roman" w:hAnsi="Arial" w:cs="Arial"/>
          <w:sz w:val="24"/>
          <w:szCs w:val="24"/>
          <w:lang w:val="pt-BR"/>
        </w:rPr>
        <w:t xml:space="preserve">Para validar se o modelo de regressão é confiável, </w:t>
      </w:r>
      <w:r w:rsidR="00D72EB5">
        <w:rPr>
          <w:rFonts w:ascii="Arial" w:eastAsia="Times New Roman" w:hAnsi="Arial" w:cs="Arial"/>
          <w:sz w:val="24"/>
          <w:szCs w:val="24"/>
          <w:lang w:val="pt-BR"/>
        </w:rPr>
        <w:t>foi utilizado</w:t>
      </w:r>
      <w:r w:rsidRPr="003D458A">
        <w:rPr>
          <w:rFonts w:ascii="Arial" w:eastAsia="Times New Roman" w:hAnsi="Arial" w:cs="Arial"/>
          <w:sz w:val="24"/>
          <w:szCs w:val="24"/>
          <w:lang w:val="pt-BR"/>
        </w:rPr>
        <w:t xml:space="preserve"> os seguintes indicadores extraídos dos dados:</w:t>
      </w:r>
    </w:p>
    <w:p w14:paraId="3AB73D9F" w14:textId="77777777" w:rsidR="003D458A" w:rsidRPr="003D458A" w:rsidRDefault="003D458A" w:rsidP="003D458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3D458A">
        <w:rPr>
          <w:rFonts w:ascii="Arial" w:eastAsia="Times New Roman" w:hAnsi="Arial" w:cs="Arial"/>
          <w:b/>
          <w:bCs/>
          <w:sz w:val="24"/>
          <w:szCs w:val="24"/>
        </w:rPr>
        <w:t>Coeficiente</w:t>
      </w:r>
      <w:proofErr w:type="spellEnd"/>
      <w:r w:rsidRPr="003D458A">
        <w:rPr>
          <w:rFonts w:ascii="Arial" w:eastAsia="Times New Roman" w:hAnsi="Arial" w:cs="Arial"/>
          <w:b/>
          <w:bCs/>
          <w:sz w:val="24"/>
          <w:szCs w:val="24"/>
        </w:rPr>
        <w:t xml:space="preserve"> de </w:t>
      </w:r>
      <w:proofErr w:type="spellStart"/>
      <w:r w:rsidRPr="003D458A">
        <w:rPr>
          <w:rFonts w:ascii="Arial" w:eastAsia="Times New Roman" w:hAnsi="Arial" w:cs="Arial"/>
          <w:b/>
          <w:bCs/>
          <w:sz w:val="24"/>
          <w:szCs w:val="24"/>
        </w:rPr>
        <w:t>Determinação</w:t>
      </w:r>
      <w:proofErr w:type="spellEnd"/>
      <w:r w:rsidRPr="003D458A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r w:rsidR="00D72EB5">
        <w:rPr>
          <w:rFonts w:ascii="Arial" w:eastAsia="Times New Roman" w:hAnsi="Arial" w:cs="Arial"/>
          <w:b/>
          <w:bCs/>
          <w:sz w:val="24"/>
          <w:szCs w:val="24"/>
        </w:rPr>
        <w:t>R²</w:t>
      </w:r>
      <w:r w:rsidRPr="003D458A">
        <w:rPr>
          <w:rFonts w:ascii="Arial" w:eastAsia="Times New Roman" w:hAnsi="Arial" w:cs="Arial"/>
          <w:b/>
          <w:bCs/>
          <w:sz w:val="24"/>
          <w:szCs w:val="24"/>
        </w:rPr>
        <w:t>)</w:t>
      </w:r>
    </w:p>
    <w:p w14:paraId="22C3BE07" w14:textId="77777777" w:rsidR="003D458A" w:rsidRPr="003D458A" w:rsidRDefault="003D458A" w:rsidP="003D45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/>
        </w:rPr>
      </w:pPr>
      <w:r w:rsidRPr="003D458A">
        <w:rPr>
          <w:rFonts w:ascii="Arial" w:eastAsia="Times New Roman" w:hAnsi="Arial" w:cs="Arial"/>
          <w:sz w:val="24"/>
          <w:szCs w:val="24"/>
          <w:lang w:val="pt-BR"/>
        </w:rPr>
        <w:t>Mede o quanto da variação da receita é explicada pelo passar dos meses.</w:t>
      </w:r>
    </w:p>
    <w:p w14:paraId="4A5DCE09" w14:textId="5E23CB31" w:rsidR="003D458A" w:rsidRPr="003D458A" w:rsidRDefault="003D458A" w:rsidP="003D45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/>
        </w:rPr>
      </w:pPr>
      <w:r w:rsidRPr="003D458A">
        <w:rPr>
          <w:rFonts w:ascii="Arial" w:eastAsia="Times New Roman" w:hAnsi="Arial" w:cs="Arial"/>
          <w:sz w:val="24"/>
          <w:szCs w:val="24"/>
          <w:lang w:val="pt-BR"/>
        </w:rPr>
        <w:t xml:space="preserve">Como a receita saltou de </w:t>
      </w:r>
      <w:r w:rsidRPr="003D458A">
        <w:rPr>
          <w:rFonts w:ascii="Arial" w:eastAsia="Times New Roman" w:hAnsi="Arial" w:cs="Arial"/>
          <w:b/>
          <w:bCs/>
          <w:sz w:val="24"/>
          <w:szCs w:val="24"/>
          <w:lang w:val="pt-BR"/>
        </w:rPr>
        <w:t>R$ 159.572</w:t>
      </w:r>
      <w:r w:rsidRPr="003D458A">
        <w:rPr>
          <w:rFonts w:ascii="Arial" w:eastAsia="Times New Roman" w:hAnsi="Arial" w:cs="Arial"/>
          <w:sz w:val="24"/>
          <w:szCs w:val="24"/>
          <w:lang w:val="pt-BR"/>
        </w:rPr>
        <w:t xml:space="preserve"> (</w:t>
      </w:r>
      <w:proofErr w:type="spellStart"/>
      <w:r w:rsidRPr="003D458A">
        <w:rPr>
          <w:rFonts w:ascii="Arial" w:eastAsia="Times New Roman" w:hAnsi="Arial" w:cs="Arial"/>
          <w:sz w:val="24"/>
          <w:szCs w:val="24"/>
          <w:lang w:val="pt-BR"/>
        </w:rPr>
        <w:t>Jun</w:t>
      </w:r>
      <w:proofErr w:type="spellEnd"/>
      <w:r w:rsidRPr="003D458A">
        <w:rPr>
          <w:rFonts w:ascii="Arial" w:eastAsia="Times New Roman" w:hAnsi="Arial" w:cs="Arial"/>
          <w:sz w:val="24"/>
          <w:szCs w:val="24"/>
          <w:lang w:val="pt-BR"/>
        </w:rPr>
        <w:t xml:space="preserve">/25) para </w:t>
      </w:r>
      <w:r w:rsidRPr="003D458A">
        <w:rPr>
          <w:rFonts w:ascii="Arial" w:eastAsia="Times New Roman" w:hAnsi="Arial" w:cs="Arial"/>
          <w:b/>
          <w:bCs/>
          <w:sz w:val="24"/>
          <w:szCs w:val="24"/>
          <w:lang w:val="pt-BR"/>
        </w:rPr>
        <w:t>R$ 1.150.680</w:t>
      </w:r>
      <w:r w:rsidRPr="003D458A">
        <w:rPr>
          <w:rFonts w:ascii="Arial" w:eastAsia="Times New Roman" w:hAnsi="Arial" w:cs="Arial"/>
          <w:sz w:val="24"/>
          <w:szCs w:val="24"/>
          <w:lang w:val="pt-BR"/>
        </w:rPr>
        <w:t xml:space="preserve"> (Jan/26), um </w:t>
      </w:r>
      <w:r w:rsidR="006250A1">
        <w:rPr>
          <w:rStyle w:val="math-inline"/>
          <w:rFonts w:ascii="Arial" w:hAnsi="Arial" w:cs="Arial"/>
          <w:lang w:val="pt-BR"/>
        </w:rPr>
        <w:t>R²</w:t>
      </w:r>
      <w:r w:rsidR="006250A1" w:rsidRPr="003D458A">
        <w:rPr>
          <w:rStyle w:val="math-inline"/>
          <w:rFonts w:ascii="Arial" w:hAnsi="Arial" w:cs="Arial"/>
          <w:lang w:val="pt-BR"/>
        </w:rPr>
        <w:t xml:space="preserve"> </w:t>
      </w:r>
      <w:r w:rsidRPr="003D458A">
        <w:rPr>
          <w:rFonts w:ascii="Arial" w:eastAsia="Times New Roman" w:hAnsi="Arial" w:cs="Arial"/>
          <w:sz w:val="24"/>
          <w:szCs w:val="24"/>
          <w:lang w:val="pt-BR"/>
        </w:rPr>
        <w:t>alto (próximo de 1.0) indicaria que o crescimento é consistente e previsível.</w:t>
      </w:r>
    </w:p>
    <w:p w14:paraId="0BB611A7" w14:textId="77777777" w:rsidR="003D458A" w:rsidRPr="003D458A" w:rsidRDefault="003D458A" w:rsidP="003D458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3D458A">
        <w:rPr>
          <w:rFonts w:ascii="Arial" w:eastAsia="Times New Roman" w:hAnsi="Arial" w:cs="Arial"/>
          <w:b/>
          <w:bCs/>
          <w:sz w:val="24"/>
          <w:szCs w:val="24"/>
        </w:rPr>
        <w:t>Análise</w:t>
      </w:r>
      <w:proofErr w:type="spellEnd"/>
      <w:r w:rsidRPr="003D458A">
        <w:rPr>
          <w:rFonts w:ascii="Arial" w:eastAsia="Times New Roman" w:hAnsi="Arial" w:cs="Arial"/>
          <w:b/>
          <w:bCs/>
          <w:sz w:val="24"/>
          <w:szCs w:val="24"/>
        </w:rPr>
        <w:t xml:space="preserve"> de </w:t>
      </w:r>
      <w:proofErr w:type="spellStart"/>
      <w:r w:rsidRPr="003D458A">
        <w:rPr>
          <w:rFonts w:ascii="Arial" w:eastAsia="Times New Roman" w:hAnsi="Arial" w:cs="Arial"/>
          <w:b/>
          <w:bCs/>
          <w:sz w:val="24"/>
          <w:szCs w:val="24"/>
        </w:rPr>
        <w:t>Resíduos</w:t>
      </w:r>
      <w:proofErr w:type="spellEnd"/>
      <w:r w:rsidRPr="003D458A">
        <w:rPr>
          <w:rFonts w:ascii="Arial" w:eastAsia="Times New Roman" w:hAnsi="Arial" w:cs="Arial"/>
          <w:b/>
          <w:bCs/>
          <w:sz w:val="24"/>
          <w:szCs w:val="24"/>
        </w:rPr>
        <w:t xml:space="preserve"> e </w:t>
      </w:r>
      <w:proofErr w:type="spellStart"/>
      <w:r w:rsidRPr="003D458A">
        <w:rPr>
          <w:rFonts w:ascii="Arial" w:eastAsia="Times New Roman" w:hAnsi="Arial" w:cs="Arial"/>
          <w:b/>
          <w:bCs/>
          <w:sz w:val="24"/>
          <w:szCs w:val="24"/>
        </w:rPr>
        <w:t>Variabilidade</w:t>
      </w:r>
      <w:proofErr w:type="spellEnd"/>
    </w:p>
    <w:p w14:paraId="62CFFA19" w14:textId="77777777" w:rsidR="003D458A" w:rsidRPr="003D458A" w:rsidRDefault="003D458A" w:rsidP="003D45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/>
        </w:rPr>
      </w:pPr>
      <w:r w:rsidRPr="003D458A">
        <w:rPr>
          <w:rFonts w:ascii="Arial" w:eastAsia="Times New Roman" w:hAnsi="Arial" w:cs="Arial"/>
          <w:sz w:val="24"/>
          <w:szCs w:val="24"/>
          <w:lang w:val="pt-BR"/>
        </w:rPr>
        <w:t xml:space="preserve">O modelo deve considerar o </w:t>
      </w:r>
      <w:r w:rsidRPr="003D458A">
        <w:rPr>
          <w:rFonts w:ascii="Arial" w:eastAsia="Times New Roman" w:hAnsi="Arial" w:cs="Arial"/>
          <w:b/>
          <w:bCs/>
          <w:sz w:val="24"/>
          <w:szCs w:val="24"/>
          <w:lang w:val="pt-BR"/>
        </w:rPr>
        <w:t>Coeficiente de Variação de 74,06%</w:t>
      </w:r>
      <w:r w:rsidRPr="003D458A">
        <w:rPr>
          <w:rFonts w:ascii="Arial" w:eastAsia="Times New Roman" w:hAnsi="Arial" w:cs="Arial"/>
          <w:sz w:val="24"/>
          <w:szCs w:val="24"/>
          <w:lang w:val="pt-BR"/>
        </w:rPr>
        <w:t>.</w:t>
      </w:r>
    </w:p>
    <w:p w14:paraId="5FBA8764" w14:textId="77777777" w:rsidR="003D458A" w:rsidRPr="003D458A" w:rsidRDefault="003D458A" w:rsidP="003D45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/>
        </w:rPr>
      </w:pPr>
      <w:r w:rsidRPr="003D458A">
        <w:rPr>
          <w:rFonts w:ascii="Arial" w:eastAsia="Times New Roman" w:hAnsi="Arial" w:cs="Arial"/>
          <w:sz w:val="24"/>
          <w:szCs w:val="24"/>
          <w:lang w:val="pt-BR"/>
        </w:rPr>
        <w:lastRenderedPageBreak/>
        <w:t xml:space="preserve">Uma variabilidade "Muito Alta" indica que, embora exista uma tendência de crescimento, há resíduos significativos (desvios) causados por meses atípicos, como </w:t>
      </w:r>
      <w:proofErr w:type="gramStart"/>
      <w:r w:rsidRPr="003D458A">
        <w:rPr>
          <w:rFonts w:ascii="Arial" w:eastAsia="Times New Roman" w:hAnsi="Arial" w:cs="Arial"/>
          <w:sz w:val="24"/>
          <w:szCs w:val="24"/>
          <w:lang w:val="pt-BR"/>
        </w:rPr>
        <w:t>Novembro</w:t>
      </w:r>
      <w:proofErr w:type="gramEnd"/>
      <w:r w:rsidRPr="003D458A">
        <w:rPr>
          <w:rFonts w:ascii="Arial" w:eastAsia="Times New Roman" w:hAnsi="Arial" w:cs="Arial"/>
          <w:sz w:val="24"/>
          <w:szCs w:val="24"/>
          <w:lang w:val="pt-BR"/>
        </w:rPr>
        <w:t xml:space="preserve"> (</w:t>
      </w:r>
      <w:r w:rsidRPr="003D458A">
        <w:rPr>
          <w:rFonts w:ascii="Arial" w:eastAsia="Times New Roman" w:hAnsi="Arial" w:cs="Arial"/>
          <w:b/>
          <w:bCs/>
          <w:sz w:val="24"/>
          <w:szCs w:val="24"/>
          <w:lang w:val="pt-BR"/>
        </w:rPr>
        <w:t>+94,9%</w:t>
      </w:r>
      <w:r w:rsidRPr="003D458A">
        <w:rPr>
          <w:rFonts w:ascii="Arial" w:eastAsia="Times New Roman" w:hAnsi="Arial" w:cs="Arial"/>
          <w:sz w:val="24"/>
          <w:szCs w:val="24"/>
          <w:lang w:val="pt-BR"/>
        </w:rPr>
        <w:t xml:space="preserve">) e </w:t>
      </w:r>
      <w:proofErr w:type="gramStart"/>
      <w:r w:rsidRPr="003D458A">
        <w:rPr>
          <w:rFonts w:ascii="Arial" w:eastAsia="Times New Roman" w:hAnsi="Arial" w:cs="Arial"/>
          <w:sz w:val="24"/>
          <w:szCs w:val="24"/>
          <w:lang w:val="pt-BR"/>
        </w:rPr>
        <w:t>Janeiro</w:t>
      </w:r>
      <w:proofErr w:type="gramEnd"/>
      <w:r w:rsidRPr="003D458A">
        <w:rPr>
          <w:rFonts w:ascii="Arial" w:eastAsia="Times New Roman" w:hAnsi="Arial" w:cs="Arial"/>
          <w:sz w:val="24"/>
          <w:szCs w:val="24"/>
          <w:lang w:val="pt-BR"/>
        </w:rPr>
        <w:t xml:space="preserve"> (</w:t>
      </w:r>
      <w:r w:rsidRPr="003D458A">
        <w:rPr>
          <w:rFonts w:ascii="Arial" w:eastAsia="Times New Roman" w:hAnsi="Arial" w:cs="Arial"/>
          <w:b/>
          <w:bCs/>
          <w:sz w:val="24"/>
          <w:szCs w:val="24"/>
          <w:lang w:val="pt-BR"/>
        </w:rPr>
        <w:t>-25,1%</w:t>
      </w:r>
      <w:r w:rsidRPr="003D458A">
        <w:rPr>
          <w:rFonts w:ascii="Arial" w:eastAsia="Times New Roman" w:hAnsi="Arial" w:cs="Arial"/>
          <w:sz w:val="24"/>
          <w:szCs w:val="24"/>
          <w:lang w:val="pt-BR"/>
        </w:rPr>
        <w:t>).</w:t>
      </w:r>
    </w:p>
    <w:p w14:paraId="11E90044" w14:textId="77777777" w:rsidR="003D458A" w:rsidRPr="006250A1" w:rsidRDefault="003D458A" w:rsidP="003D458A">
      <w:pPr>
        <w:spacing w:after="0" w:line="240" w:lineRule="auto"/>
        <w:rPr>
          <w:rFonts w:ascii="Arial" w:eastAsia="Times New Roman" w:hAnsi="Arial" w:cs="Arial"/>
          <w:sz w:val="24"/>
          <w:szCs w:val="24"/>
          <w:lang w:val="pt-BR"/>
        </w:rPr>
      </w:pPr>
    </w:p>
    <w:p w14:paraId="32BBEAA0" w14:textId="77777777" w:rsidR="003D458A" w:rsidRPr="003D458A" w:rsidRDefault="003D458A" w:rsidP="003D45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pt-BR"/>
        </w:rPr>
      </w:pPr>
      <w:r w:rsidRPr="003D458A">
        <w:rPr>
          <w:rFonts w:ascii="Arial" w:eastAsia="Times New Roman" w:hAnsi="Arial" w:cs="Arial"/>
          <w:b/>
          <w:bCs/>
          <w:sz w:val="24"/>
          <w:szCs w:val="24"/>
          <w:lang w:val="pt-BR"/>
        </w:rPr>
        <w:t>4. Relações entre Variáveis (Insight Adicional)</w:t>
      </w:r>
    </w:p>
    <w:p w14:paraId="6E24BF42" w14:textId="19E3FBC0" w:rsidR="003D458A" w:rsidRPr="003D458A" w:rsidRDefault="006250A1" w:rsidP="003D45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/>
        </w:rPr>
      </w:pPr>
      <w:r>
        <w:rPr>
          <w:rFonts w:ascii="Arial" w:eastAsia="Times New Roman" w:hAnsi="Arial" w:cs="Arial"/>
          <w:sz w:val="24"/>
          <w:szCs w:val="24"/>
          <w:lang w:val="pt-BR"/>
        </w:rPr>
        <w:t>Em suma</w:t>
      </w:r>
      <w:r w:rsidR="003D458A" w:rsidRPr="003D458A">
        <w:rPr>
          <w:rFonts w:ascii="Arial" w:eastAsia="Times New Roman" w:hAnsi="Arial" w:cs="Arial"/>
          <w:sz w:val="24"/>
          <w:szCs w:val="24"/>
          <w:lang w:val="pt-BR"/>
        </w:rPr>
        <w:t>, pode</w:t>
      </w:r>
      <w:r>
        <w:rPr>
          <w:rFonts w:ascii="Arial" w:eastAsia="Times New Roman" w:hAnsi="Arial" w:cs="Arial"/>
          <w:sz w:val="24"/>
          <w:szCs w:val="24"/>
          <w:lang w:val="pt-BR"/>
        </w:rPr>
        <w:t>-se</w:t>
      </w:r>
      <w:r w:rsidR="003D458A" w:rsidRPr="003D458A">
        <w:rPr>
          <w:rFonts w:ascii="Arial" w:eastAsia="Times New Roman" w:hAnsi="Arial" w:cs="Arial"/>
          <w:sz w:val="24"/>
          <w:szCs w:val="24"/>
          <w:lang w:val="pt-BR"/>
        </w:rPr>
        <w:t xml:space="preserve"> explorar a regressão entre:</w:t>
      </w:r>
    </w:p>
    <w:p w14:paraId="12CA3D97" w14:textId="77777777" w:rsidR="003D458A" w:rsidRPr="003D458A" w:rsidRDefault="003D458A" w:rsidP="003D45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/>
        </w:rPr>
      </w:pPr>
      <w:r w:rsidRPr="003D458A">
        <w:rPr>
          <w:rFonts w:ascii="Arial" w:eastAsia="Times New Roman" w:hAnsi="Arial" w:cs="Arial"/>
          <w:b/>
          <w:bCs/>
          <w:sz w:val="24"/>
          <w:szCs w:val="24"/>
          <w:lang w:val="pt-BR"/>
        </w:rPr>
        <w:t>Número de Pedidos vs. Receita:</w:t>
      </w:r>
      <w:r w:rsidRPr="003D458A">
        <w:rPr>
          <w:rFonts w:ascii="Arial" w:eastAsia="Times New Roman" w:hAnsi="Arial" w:cs="Arial"/>
          <w:sz w:val="24"/>
          <w:szCs w:val="24"/>
          <w:lang w:val="pt-BR"/>
        </w:rPr>
        <w:t xml:space="preserve"> Avaliar se o aumento do faturamento é puramente por volume ou se o </w:t>
      </w:r>
      <w:r w:rsidRPr="003D458A">
        <w:rPr>
          <w:rFonts w:ascii="Arial" w:eastAsia="Times New Roman" w:hAnsi="Arial" w:cs="Arial"/>
          <w:b/>
          <w:bCs/>
          <w:sz w:val="24"/>
          <w:szCs w:val="24"/>
          <w:lang w:val="pt-BR"/>
        </w:rPr>
        <w:t>Ticket Médio de R$ 57,12</w:t>
      </w:r>
      <w:r w:rsidRPr="003D458A">
        <w:rPr>
          <w:rFonts w:ascii="Arial" w:eastAsia="Times New Roman" w:hAnsi="Arial" w:cs="Arial"/>
          <w:sz w:val="24"/>
          <w:szCs w:val="24"/>
          <w:lang w:val="pt-BR"/>
        </w:rPr>
        <w:t xml:space="preserve"> também sofreu alteração.</w:t>
      </w:r>
    </w:p>
    <w:p w14:paraId="73A99202" w14:textId="77777777" w:rsidR="003D458A" w:rsidRDefault="003D458A" w:rsidP="003D45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/>
        </w:rPr>
      </w:pPr>
      <w:r w:rsidRPr="003D458A">
        <w:rPr>
          <w:rFonts w:ascii="Arial" w:eastAsia="Times New Roman" w:hAnsi="Arial" w:cs="Arial"/>
          <w:b/>
          <w:bCs/>
          <w:sz w:val="24"/>
          <w:szCs w:val="24"/>
          <w:lang w:val="pt-BR"/>
        </w:rPr>
        <w:t>Recorrência vs. Receita:</w:t>
      </w:r>
      <w:r w:rsidRPr="003D458A">
        <w:rPr>
          <w:rFonts w:ascii="Arial" w:eastAsia="Times New Roman" w:hAnsi="Arial" w:cs="Arial"/>
          <w:sz w:val="24"/>
          <w:szCs w:val="24"/>
          <w:lang w:val="pt-BR"/>
        </w:rPr>
        <w:t xml:space="preserve"> Confirmar estatisticamente se o aumento da base de </w:t>
      </w:r>
      <w:r w:rsidRPr="003D458A">
        <w:rPr>
          <w:rFonts w:ascii="Arial" w:eastAsia="Times New Roman" w:hAnsi="Arial" w:cs="Arial"/>
          <w:b/>
          <w:bCs/>
          <w:sz w:val="24"/>
          <w:szCs w:val="24"/>
          <w:lang w:val="pt-BR"/>
        </w:rPr>
        <w:t>18.036 clientes recorrentes</w:t>
      </w:r>
      <w:r w:rsidRPr="003D458A">
        <w:rPr>
          <w:rFonts w:ascii="Arial" w:eastAsia="Times New Roman" w:hAnsi="Arial" w:cs="Arial"/>
          <w:sz w:val="24"/>
          <w:szCs w:val="24"/>
          <w:lang w:val="pt-BR"/>
        </w:rPr>
        <w:t xml:space="preserve"> é o principal preditor do sucesso financeiro (visto que eles detêm </w:t>
      </w:r>
      <w:r w:rsidRPr="003D458A">
        <w:rPr>
          <w:rFonts w:ascii="Arial" w:eastAsia="Times New Roman" w:hAnsi="Arial" w:cs="Arial"/>
          <w:b/>
          <w:bCs/>
          <w:sz w:val="24"/>
          <w:szCs w:val="24"/>
          <w:lang w:val="pt-BR"/>
        </w:rPr>
        <w:t>71,74% da receita</w:t>
      </w:r>
      <w:r w:rsidRPr="003D458A">
        <w:rPr>
          <w:rFonts w:ascii="Arial" w:eastAsia="Times New Roman" w:hAnsi="Arial" w:cs="Arial"/>
          <w:sz w:val="24"/>
          <w:szCs w:val="24"/>
          <w:lang w:val="pt-BR"/>
        </w:rPr>
        <w:t>).</w:t>
      </w:r>
    </w:p>
    <w:p w14:paraId="4B5353DB" w14:textId="77777777" w:rsidR="00D72EB5" w:rsidRPr="00D72EB5" w:rsidRDefault="00D72EB5" w:rsidP="00D72EB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pt-BR"/>
        </w:rPr>
      </w:pPr>
    </w:p>
    <w:p w14:paraId="56C4DF95" w14:textId="77777777" w:rsidR="003D458A" w:rsidRPr="003D458A" w:rsidRDefault="003D458A" w:rsidP="003D458A">
      <w:pPr>
        <w:pStyle w:val="Ttulo3"/>
        <w:rPr>
          <w:rFonts w:ascii="Arial" w:hAnsi="Arial" w:cs="Arial"/>
          <w:sz w:val="24"/>
          <w:szCs w:val="24"/>
          <w:lang w:val="pt-BR"/>
        </w:rPr>
      </w:pPr>
      <w:r w:rsidRPr="003D458A">
        <w:rPr>
          <w:rFonts w:ascii="Arial" w:hAnsi="Arial" w:cs="Arial"/>
          <w:sz w:val="24"/>
          <w:szCs w:val="24"/>
          <w:lang w:val="pt-BR"/>
        </w:rPr>
        <w:t>1. Análise de Regressão: Receita Mensal vs. Tempo (Crescimento)</w:t>
      </w:r>
    </w:p>
    <w:p w14:paraId="59C24DF7" w14:textId="77777777" w:rsidR="003D458A" w:rsidRPr="003D458A" w:rsidRDefault="003D458A" w:rsidP="003D458A">
      <w:pPr>
        <w:pStyle w:val="NormalWeb"/>
        <w:rPr>
          <w:rFonts w:ascii="Arial" w:hAnsi="Arial" w:cs="Arial"/>
          <w:lang w:val="pt-BR"/>
        </w:rPr>
      </w:pPr>
      <w:r w:rsidRPr="003D458A">
        <w:rPr>
          <w:rFonts w:ascii="Arial" w:hAnsi="Arial" w:cs="Arial"/>
          <w:lang w:val="pt-BR"/>
        </w:rPr>
        <w:t xml:space="preserve">Este gráfico de dispersão com uma linha de tendência (regressão) </w:t>
      </w:r>
      <w:r w:rsidR="00D72EB5">
        <w:rPr>
          <w:rFonts w:ascii="Arial" w:hAnsi="Arial" w:cs="Arial"/>
          <w:lang w:val="pt-BR"/>
        </w:rPr>
        <w:t xml:space="preserve">e </w:t>
      </w:r>
      <w:r w:rsidRPr="003D458A">
        <w:rPr>
          <w:rFonts w:ascii="Arial" w:hAnsi="Arial" w:cs="Arial"/>
          <w:lang w:val="pt-BR"/>
        </w:rPr>
        <w:t>mostra visualmente como a receita cresceu consistentemente ao longo do tempo.</w:t>
      </w:r>
    </w:p>
    <w:p w14:paraId="42EE2B48" w14:textId="07A3042E" w:rsidR="003D458A" w:rsidRPr="006250A1" w:rsidRDefault="003D458A" w:rsidP="006250A1">
      <w:pPr>
        <w:pStyle w:val="NormalWeb"/>
        <w:numPr>
          <w:ilvl w:val="0"/>
          <w:numId w:val="6"/>
        </w:numPr>
        <w:rPr>
          <w:rFonts w:ascii="Arial" w:hAnsi="Arial" w:cs="Arial"/>
          <w:lang w:val="pt-BR"/>
        </w:rPr>
      </w:pPr>
      <w:r w:rsidRPr="003D458A">
        <w:rPr>
          <w:rFonts w:ascii="Arial" w:hAnsi="Arial" w:cs="Arial"/>
          <w:b/>
          <w:bCs/>
          <w:lang w:val="pt-BR"/>
        </w:rPr>
        <w:t>Insight:</w:t>
      </w:r>
      <w:r w:rsidRPr="003D458A">
        <w:rPr>
          <w:rFonts w:ascii="Arial" w:hAnsi="Arial" w:cs="Arial"/>
          <w:lang w:val="pt-BR"/>
        </w:rPr>
        <w:t xml:space="preserve"> A linha de tendência mostra uma forte correlação positiva (</w:t>
      </w:r>
      <w:r w:rsidR="00D72EB5">
        <w:rPr>
          <w:rStyle w:val="math-inline"/>
          <w:rFonts w:ascii="Arial" w:hAnsi="Arial" w:cs="Arial"/>
          <w:lang w:val="pt-BR"/>
        </w:rPr>
        <w:t>R²</w:t>
      </w:r>
      <w:r w:rsidRPr="003D458A">
        <w:rPr>
          <w:rStyle w:val="math-inline"/>
          <w:rFonts w:ascii="Arial" w:hAnsi="Arial" w:cs="Arial"/>
          <w:lang w:val="pt-BR"/>
        </w:rPr>
        <w:t xml:space="preserve"> = 0.94</w:t>
      </w:r>
      <w:r w:rsidRPr="003D458A">
        <w:rPr>
          <w:rFonts w:ascii="Arial" w:hAnsi="Arial" w:cs="Arial"/>
          <w:lang w:val="pt-BR"/>
        </w:rPr>
        <w:t>), indicando que, apesar da variabilidade mensal (o coeficiente de variação de 74,06%), a trajetória de crescimento é altamente previsível.</w:t>
      </w:r>
    </w:p>
    <w:p w14:paraId="45FF2EEA" w14:textId="77777777" w:rsidR="003D458A" w:rsidRDefault="003D458A" w:rsidP="006250A1">
      <w:pPr>
        <w:pStyle w:val="NormalWeb"/>
        <w:jc w:val="center"/>
        <w:rPr>
          <w:noProof/>
          <w:lang w:val="pt-BR"/>
        </w:rPr>
      </w:pPr>
      <w:r>
        <w:rPr>
          <w:noProof/>
        </w:rPr>
        <w:drawing>
          <wp:inline distT="0" distB="0" distL="0" distR="0" wp14:anchorId="061BEC20" wp14:editId="7663745E">
            <wp:extent cx="4533900" cy="21621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88D6" w14:textId="5984F51F" w:rsidR="006250A1" w:rsidRPr="006250A1" w:rsidRDefault="006250A1" w:rsidP="006250A1">
      <w:pPr>
        <w:pStyle w:val="NormalWeb"/>
        <w:jc w:val="center"/>
        <w:rPr>
          <w:rFonts w:ascii="Arial" w:hAnsi="Arial" w:cs="Arial"/>
          <w:noProof/>
          <w:lang w:val="pt-BR"/>
        </w:rPr>
      </w:pPr>
      <w:r w:rsidRPr="006250A1">
        <w:rPr>
          <w:rFonts w:ascii="Arial" w:hAnsi="Arial" w:cs="Arial"/>
          <w:noProof/>
          <w:lang w:val="pt-BR"/>
        </w:rPr>
        <w:t>Gráfico 1 – Análise de Regressão: Receita Mensal vs Tempo</w:t>
      </w:r>
    </w:p>
    <w:p w14:paraId="69B7A4F7" w14:textId="77777777" w:rsidR="003D458A" w:rsidRPr="00D72EB5" w:rsidRDefault="00D72EB5" w:rsidP="003D458A">
      <w:pPr>
        <w:pStyle w:val="Ttulo3"/>
        <w:rPr>
          <w:rFonts w:ascii="Arial" w:hAnsi="Arial" w:cs="Arial"/>
          <w:sz w:val="24"/>
          <w:szCs w:val="24"/>
          <w:lang w:val="pt-BR"/>
        </w:rPr>
      </w:pPr>
      <w:r w:rsidRPr="00D72EB5">
        <w:rPr>
          <w:rFonts w:ascii="Arial" w:hAnsi="Arial" w:cs="Arial"/>
          <w:b w:val="0"/>
          <w:bCs w:val="0"/>
          <w:sz w:val="24"/>
          <w:szCs w:val="24"/>
          <w:lang w:val="pt-BR"/>
        </w:rPr>
        <w:t>Insight:</w:t>
      </w:r>
      <w:r w:rsidRPr="00D72EB5">
        <w:rPr>
          <w:rFonts w:ascii="Arial" w:hAnsi="Arial" w:cs="Arial"/>
          <w:sz w:val="24"/>
          <w:szCs w:val="24"/>
          <w:lang w:val="pt-BR"/>
        </w:rPr>
        <w:t xml:space="preserve"> </w:t>
      </w:r>
      <w:r>
        <w:rPr>
          <w:rFonts w:ascii="Arial" w:hAnsi="Arial" w:cs="Arial"/>
          <w:sz w:val="24"/>
          <w:szCs w:val="24"/>
          <w:lang w:val="pt-BR"/>
        </w:rPr>
        <w:t>Demonstra</w:t>
      </w:r>
      <w:r w:rsidRPr="00D72EB5">
        <w:rPr>
          <w:rFonts w:ascii="Arial" w:hAnsi="Arial" w:cs="Arial"/>
          <w:sz w:val="24"/>
          <w:szCs w:val="24"/>
          <w:lang w:val="pt-BR"/>
        </w:rPr>
        <w:t xml:space="preserve"> visualmente a trajetória de crescimento de </w:t>
      </w:r>
      <w:r w:rsidRPr="00D72EB5">
        <w:rPr>
          <w:rFonts w:ascii="Arial" w:hAnsi="Arial" w:cs="Arial"/>
          <w:b w:val="0"/>
          <w:bCs w:val="0"/>
          <w:sz w:val="24"/>
          <w:szCs w:val="24"/>
          <w:lang w:val="pt-BR"/>
        </w:rPr>
        <w:t>+10,8%</w:t>
      </w:r>
      <w:r w:rsidRPr="00D72EB5">
        <w:rPr>
          <w:rFonts w:ascii="Arial" w:hAnsi="Arial" w:cs="Arial"/>
          <w:sz w:val="24"/>
          <w:szCs w:val="24"/>
          <w:lang w:val="pt-BR"/>
        </w:rPr>
        <w:t xml:space="preserve"> até os picos de </w:t>
      </w:r>
      <w:r w:rsidRPr="00D72EB5">
        <w:rPr>
          <w:rFonts w:ascii="Arial" w:hAnsi="Arial" w:cs="Arial"/>
          <w:b w:val="0"/>
          <w:bCs w:val="0"/>
          <w:sz w:val="24"/>
          <w:szCs w:val="24"/>
          <w:lang w:val="pt-BR"/>
        </w:rPr>
        <w:t>+94,9%</w:t>
      </w:r>
      <w:r w:rsidRPr="00D72EB5">
        <w:rPr>
          <w:rFonts w:ascii="Arial" w:hAnsi="Arial" w:cs="Arial"/>
          <w:sz w:val="24"/>
          <w:szCs w:val="24"/>
          <w:lang w:val="pt-BR"/>
        </w:rPr>
        <w:t>.</w:t>
      </w:r>
    </w:p>
    <w:p w14:paraId="45408F64" w14:textId="77777777" w:rsidR="003D458A" w:rsidRDefault="003D458A" w:rsidP="003D458A">
      <w:pPr>
        <w:pStyle w:val="Ttulo3"/>
        <w:rPr>
          <w:rFonts w:ascii="Arial" w:hAnsi="Arial" w:cs="Arial"/>
          <w:sz w:val="24"/>
          <w:szCs w:val="24"/>
          <w:lang w:val="pt-BR"/>
        </w:rPr>
      </w:pPr>
    </w:p>
    <w:p w14:paraId="58C9CC3D" w14:textId="77777777" w:rsidR="003D458A" w:rsidRPr="003D458A" w:rsidRDefault="003D458A" w:rsidP="003D458A">
      <w:pPr>
        <w:pStyle w:val="Ttulo3"/>
        <w:rPr>
          <w:rFonts w:ascii="Arial" w:hAnsi="Arial" w:cs="Arial"/>
          <w:sz w:val="24"/>
          <w:szCs w:val="24"/>
          <w:lang w:val="pt-BR"/>
        </w:rPr>
      </w:pPr>
      <w:r w:rsidRPr="003D458A">
        <w:rPr>
          <w:rFonts w:ascii="Arial" w:hAnsi="Arial" w:cs="Arial"/>
          <w:sz w:val="24"/>
          <w:szCs w:val="24"/>
          <w:lang w:val="pt-BR"/>
        </w:rPr>
        <w:lastRenderedPageBreak/>
        <w:t>2. Margem Bruta por Canal de Venda (Pareto)</w:t>
      </w:r>
    </w:p>
    <w:p w14:paraId="50AD22FD" w14:textId="77777777" w:rsidR="00D72EB5" w:rsidRDefault="003D458A" w:rsidP="00D72EB5">
      <w:pPr>
        <w:pStyle w:val="NormalWeb"/>
        <w:rPr>
          <w:rFonts w:ascii="Arial" w:hAnsi="Arial" w:cs="Arial"/>
          <w:lang w:val="pt-BR"/>
        </w:rPr>
      </w:pPr>
      <w:r w:rsidRPr="003D458A">
        <w:rPr>
          <w:rFonts w:ascii="Arial" w:hAnsi="Arial" w:cs="Arial"/>
          <w:lang w:val="pt-BR"/>
        </w:rPr>
        <w:t>Este gráfico de Pareto visualiza a eficiência de cada canal de venda, considerando as comissões típica</w:t>
      </w:r>
      <w:r w:rsidR="00D72EB5">
        <w:rPr>
          <w:rFonts w:ascii="Arial" w:hAnsi="Arial" w:cs="Arial"/>
          <w:lang w:val="pt-BR"/>
        </w:rPr>
        <w:t>s de mercado.</w:t>
      </w:r>
    </w:p>
    <w:p w14:paraId="1D243428" w14:textId="77777777" w:rsidR="003D458A" w:rsidRPr="003D458A" w:rsidRDefault="003D458A" w:rsidP="00D72EB5">
      <w:pPr>
        <w:pStyle w:val="NormalWeb"/>
        <w:rPr>
          <w:rFonts w:ascii="Arial" w:hAnsi="Arial" w:cs="Arial"/>
          <w:lang w:val="pt-BR"/>
        </w:rPr>
      </w:pPr>
      <w:r w:rsidRPr="003D458A">
        <w:rPr>
          <w:rFonts w:ascii="Arial" w:hAnsi="Arial" w:cs="Arial"/>
          <w:b/>
          <w:bCs/>
          <w:lang w:val="pt-BR"/>
        </w:rPr>
        <w:t>Insight:</w:t>
      </w:r>
      <w:r w:rsidRPr="003D458A">
        <w:rPr>
          <w:rFonts w:ascii="Arial" w:hAnsi="Arial" w:cs="Arial"/>
          <w:lang w:val="pt-BR"/>
        </w:rPr>
        <w:t xml:space="preserve"> O iFood domina o volume, mas o </w:t>
      </w:r>
      <w:proofErr w:type="spellStart"/>
      <w:r w:rsidRPr="003D458A">
        <w:rPr>
          <w:rFonts w:ascii="Arial" w:hAnsi="Arial" w:cs="Arial"/>
          <w:lang w:val="pt-BR"/>
        </w:rPr>
        <w:t>CardápioWeb</w:t>
      </w:r>
      <w:proofErr w:type="spellEnd"/>
      <w:r w:rsidRPr="003D458A">
        <w:rPr>
          <w:rFonts w:ascii="Arial" w:hAnsi="Arial" w:cs="Arial"/>
          <w:lang w:val="pt-BR"/>
        </w:rPr>
        <w:t xml:space="preserve"> e a Cannoli apresentam as melhores taxas de margem (</w:t>
      </w:r>
      <w:r w:rsidRPr="003D458A">
        <w:rPr>
          <w:rFonts w:ascii="Arial" w:hAnsi="Arial" w:cs="Arial"/>
          <w:b/>
          <w:bCs/>
          <w:lang w:val="pt-BR"/>
        </w:rPr>
        <w:t>3%</w:t>
      </w:r>
      <w:r w:rsidRPr="003D458A">
        <w:rPr>
          <w:rFonts w:ascii="Arial" w:hAnsi="Arial" w:cs="Arial"/>
          <w:lang w:val="pt-BR"/>
        </w:rPr>
        <w:t>), tornando-os os canais mais rentáveis para cada R$ 1,00 de faturamento. Migrar o volume para estes canais pode aumentar drasticamente a margem operacional.</w:t>
      </w:r>
    </w:p>
    <w:p w14:paraId="10F199C2" w14:textId="77777777" w:rsidR="003D458A" w:rsidRDefault="003D458A" w:rsidP="006250A1">
      <w:pPr>
        <w:pStyle w:val="NormalWeb"/>
        <w:jc w:val="center"/>
        <w:rPr>
          <w:noProof/>
          <w:lang w:val="pt-BR"/>
        </w:rPr>
      </w:pPr>
      <w:r>
        <w:rPr>
          <w:noProof/>
        </w:rPr>
        <w:drawing>
          <wp:inline distT="0" distB="0" distL="0" distR="0" wp14:anchorId="429ACF80" wp14:editId="50BDD137">
            <wp:extent cx="5153025" cy="2474866"/>
            <wp:effectExtent l="0" t="0" r="0" b="190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1713" cy="247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A3FA" w14:textId="66C5091C" w:rsidR="006250A1" w:rsidRPr="006250A1" w:rsidRDefault="006250A1" w:rsidP="006250A1">
      <w:pPr>
        <w:pStyle w:val="NormalWeb"/>
        <w:jc w:val="center"/>
        <w:rPr>
          <w:rFonts w:ascii="Arial" w:hAnsi="Arial" w:cs="Arial"/>
          <w:noProof/>
          <w:lang w:val="pt-BR"/>
        </w:rPr>
      </w:pPr>
      <w:r w:rsidRPr="006250A1">
        <w:rPr>
          <w:rFonts w:ascii="Arial" w:hAnsi="Arial" w:cs="Arial"/>
          <w:noProof/>
          <w:lang w:val="pt-BR"/>
        </w:rPr>
        <w:t>Gráfico 2 – Margem Bruta por Canal de Venda através do Pareto</w:t>
      </w:r>
    </w:p>
    <w:p w14:paraId="1FA455EF" w14:textId="21844367" w:rsidR="00D72EB5" w:rsidRPr="006250A1" w:rsidRDefault="00D72EB5" w:rsidP="003D458A">
      <w:pPr>
        <w:pStyle w:val="Ttulo3"/>
        <w:rPr>
          <w:rFonts w:ascii="Arial" w:hAnsi="Arial" w:cs="Arial"/>
          <w:b w:val="0"/>
          <w:i/>
          <w:sz w:val="24"/>
          <w:lang w:val="pt-BR"/>
        </w:rPr>
      </w:pPr>
      <w:r w:rsidRPr="00D72EB5">
        <w:rPr>
          <w:rFonts w:ascii="Arial" w:hAnsi="Arial" w:cs="Arial"/>
          <w:b w:val="0"/>
          <w:bCs w:val="0"/>
          <w:i/>
          <w:sz w:val="24"/>
          <w:lang w:val="pt-BR"/>
        </w:rPr>
        <w:t>Insight:</w:t>
      </w:r>
      <w:r w:rsidRPr="00D72EB5">
        <w:rPr>
          <w:rFonts w:ascii="Arial" w:hAnsi="Arial" w:cs="Arial"/>
          <w:b w:val="0"/>
          <w:i/>
          <w:sz w:val="24"/>
          <w:lang w:val="pt-BR"/>
        </w:rPr>
        <w:t xml:space="preserve"> o iFood domina o volume, mas os canais próprios (</w:t>
      </w:r>
      <w:proofErr w:type="spellStart"/>
      <w:r w:rsidRPr="00D72EB5">
        <w:rPr>
          <w:rFonts w:ascii="Arial" w:hAnsi="Arial" w:cs="Arial"/>
          <w:b w:val="0"/>
          <w:i/>
          <w:sz w:val="24"/>
          <w:lang w:val="pt-BR"/>
        </w:rPr>
        <w:t>CardápioWeb</w:t>
      </w:r>
      <w:proofErr w:type="spellEnd"/>
      <w:r w:rsidRPr="00D72EB5">
        <w:rPr>
          <w:rFonts w:ascii="Arial" w:hAnsi="Arial" w:cs="Arial"/>
          <w:b w:val="0"/>
          <w:i/>
          <w:sz w:val="24"/>
          <w:lang w:val="pt-BR"/>
        </w:rPr>
        <w:t>/Cannoli) têm as melhores taxas de margem (</w:t>
      </w:r>
      <w:r w:rsidRPr="00D72EB5">
        <w:rPr>
          <w:rFonts w:ascii="Arial" w:hAnsi="Arial" w:cs="Arial"/>
          <w:b w:val="0"/>
          <w:bCs w:val="0"/>
          <w:i/>
          <w:sz w:val="24"/>
          <w:lang w:val="pt-BR"/>
        </w:rPr>
        <w:t>3%</w:t>
      </w:r>
      <w:r w:rsidRPr="00D72EB5">
        <w:rPr>
          <w:rFonts w:ascii="Arial" w:hAnsi="Arial" w:cs="Arial"/>
          <w:b w:val="0"/>
          <w:i/>
          <w:sz w:val="24"/>
          <w:lang w:val="pt-BR"/>
        </w:rPr>
        <w:t>)</w:t>
      </w:r>
    </w:p>
    <w:p w14:paraId="7E817CF9" w14:textId="77777777" w:rsidR="003D458A" w:rsidRPr="003D458A" w:rsidRDefault="003D458A" w:rsidP="003D458A">
      <w:pPr>
        <w:pStyle w:val="Ttulo3"/>
        <w:rPr>
          <w:rFonts w:ascii="Arial" w:hAnsi="Arial" w:cs="Arial"/>
          <w:sz w:val="24"/>
          <w:szCs w:val="24"/>
          <w:lang w:val="pt-BR"/>
        </w:rPr>
      </w:pPr>
      <w:r w:rsidRPr="003D458A">
        <w:rPr>
          <w:rFonts w:ascii="Arial" w:hAnsi="Arial" w:cs="Arial"/>
          <w:sz w:val="24"/>
          <w:szCs w:val="24"/>
          <w:lang w:val="pt-BR"/>
        </w:rPr>
        <w:t>3. Composição da Base de Clientes (Fidelidade)</w:t>
      </w:r>
    </w:p>
    <w:p w14:paraId="48A463C7" w14:textId="77777777" w:rsidR="003D458A" w:rsidRPr="003D458A" w:rsidRDefault="00D72EB5" w:rsidP="003D458A">
      <w:pPr>
        <w:pStyle w:val="NormalWeb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Uma visualização clara da </w:t>
      </w:r>
      <w:r w:rsidR="003D458A" w:rsidRPr="003D458A">
        <w:rPr>
          <w:rFonts w:ascii="Arial" w:hAnsi="Arial" w:cs="Arial"/>
          <w:b/>
          <w:bCs/>
          <w:lang w:val="pt-BR"/>
        </w:rPr>
        <w:t>Taxa de Recorrência</w:t>
      </w:r>
      <w:r w:rsidR="003D458A" w:rsidRPr="003D458A">
        <w:rPr>
          <w:rFonts w:ascii="Arial" w:hAnsi="Arial" w:cs="Arial"/>
          <w:lang w:val="pt-BR"/>
        </w:rPr>
        <w:t>.</w:t>
      </w:r>
    </w:p>
    <w:p w14:paraId="12881DEC" w14:textId="30960B08" w:rsidR="003D458A" w:rsidRPr="006250A1" w:rsidRDefault="003D458A" w:rsidP="006250A1">
      <w:pPr>
        <w:pStyle w:val="NormalWeb"/>
        <w:numPr>
          <w:ilvl w:val="0"/>
          <w:numId w:val="8"/>
        </w:numPr>
        <w:rPr>
          <w:rFonts w:ascii="Arial" w:hAnsi="Arial" w:cs="Arial"/>
          <w:lang w:val="pt-BR"/>
        </w:rPr>
      </w:pPr>
      <w:r w:rsidRPr="003D458A">
        <w:rPr>
          <w:rFonts w:ascii="Arial" w:hAnsi="Arial" w:cs="Arial"/>
          <w:b/>
          <w:bCs/>
          <w:lang w:val="pt-BR"/>
        </w:rPr>
        <w:t>Insight:</w:t>
      </w:r>
      <w:r w:rsidRPr="003D458A">
        <w:rPr>
          <w:rFonts w:ascii="Arial" w:hAnsi="Arial" w:cs="Arial"/>
          <w:lang w:val="pt-BR"/>
        </w:rPr>
        <w:t xml:space="preserve"> A base de </w:t>
      </w:r>
      <w:r w:rsidRPr="003D458A">
        <w:rPr>
          <w:rFonts w:ascii="Arial" w:hAnsi="Arial" w:cs="Arial"/>
          <w:b/>
          <w:bCs/>
          <w:lang w:val="pt-BR"/>
        </w:rPr>
        <w:t>18.036 clientes recorrentes</w:t>
      </w:r>
      <w:r w:rsidRPr="003D458A">
        <w:rPr>
          <w:rFonts w:ascii="Arial" w:hAnsi="Arial" w:cs="Arial"/>
          <w:lang w:val="pt-BR"/>
        </w:rPr>
        <w:t xml:space="preserve"> (37,42% do total) é o pilar do negócio. O ARPU deste grupo é </w:t>
      </w:r>
      <w:r w:rsidRPr="003D458A">
        <w:rPr>
          <w:rFonts w:ascii="Arial" w:hAnsi="Arial" w:cs="Arial"/>
          <w:b/>
          <w:bCs/>
          <w:lang w:val="pt-BR"/>
        </w:rPr>
        <w:t>4,24 vezes</w:t>
      </w:r>
      <w:r w:rsidRPr="003D458A">
        <w:rPr>
          <w:rFonts w:ascii="Arial" w:hAnsi="Arial" w:cs="Arial"/>
          <w:lang w:val="pt-BR"/>
        </w:rPr>
        <w:t xml:space="preserve"> superior ao dos novos clientes, justificando investimentos agressivos em retenção e CRM.</w:t>
      </w:r>
    </w:p>
    <w:p w14:paraId="0AF0A9F3" w14:textId="77777777" w:rsidR="003D458A" w:rsidRDefault="003D458A" w:rsidP="006250A1">
      <w:pPr>
        <w:pStyle w:val="NormalWeb"/>
        <w:jc w:val="center"/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65F70685" wp14:editId="29C278A2">
            <wp:extent cx="4275783" cy="20764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2734" cy="208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9A46" w14:textId="28DDA4AB" w:rsidR="008A3093" w:rsidRPr="006C1F32" w:rsidRDefault="006250A1" w:rsidP="006250A1">
      <w:pPr>
        <w:pStyle w:val="NormalWeb"/>
        <w:jc w:val="center"/>
        <w:rPr>
          <w:rFonts w:ascii="Arial" w:hAnsi="Arial" w:cs="Arial"/>
          <w:lang w:val="pt-BR"/>
        </w:rPr>
      </w:pPr>
      <w:r w:rsidRPr="006C1F32">
        <w:rPr>
          <w:rFonts w:ascii="Arial" w:hAnsi="Arial" w:cs="Arial"/>
          <w:lang w:val="pt-BR"/>
        </w:rPr>
        <w:t>Gráfico 3 – Composição da Base de Clientes (Fidelidade)</w:t>
      </w:r>
    </w:p>
    <w:p w14:paraId="3E0298AA" w14:textId="77777777" w:rsidR="006250A1" w:rsidRPr="006250A1" w:rsidRDefault="006250A1" w:rsidP="006250A1">
      <w:pPr>
        <w:pStyle w:val="NormalWeb"/>
        <w:jc w:val="center"/>
        <w:rPr>
          <w:lang w:val="pt-BR"/>
        </w:rPr>
      </w:pPr>
    </w:p>
    <w:p w14:paraId="19F1435A" w14:textId="77777777" w:rsidR="003D458A" w:rsidRPr="003D458A" w:rsidRDefault="003D458A" w:rsidP="003D458A">
      <w:pPr>
        <w:pStyle w:val="Ttulo3"/>
        <w:rPr>
          <w:rFonts w:ascii="Arial" w:hAnsi="Arial" w:cs="Arial"/>
          <w:sz w:val="24"/>
          <w:szCs w:val="24"/>
          <w:lang w:val="pt-BR"/>
        </w:rPr>
      </w:pPr>
      <w:r w:rsidRPr="003D458A">
        <w:rPr>
          <w:rFonts w:ascii="Arial" w:hAnsi="Arial" w:cs="Arial"/>
          <w:sz w:val="24"/>
          <w:szCs w:val="24"/>
          <w:lang w:val="pt-BR"/>
        </w:rPr>
        <w:t>4. Participação na Receita: Recorrentes vs. Não-Recorrentes</w:t>
      </w:r>
    </w:p>
    <w:p w14:paraId="57B197F4" w14:textId="77777777" w:rsidR="003D458A" w:rsidRPr="003D458A" w:rsidRDefault="003D458A" w:rsidP="003D458A">
      <w:pPr>
        <w:pStyle w:val="NormalWeb"/>
        <w:rPr>
          <w:rFonts w:ascii="Arial" w:hAnsi="Arial" w:cs="Arial"/>
          <w:lang w:val="pt-BR"/>
        </w:rPr>
      </w:pPr>
      <w:r w:rsidRPr="003D458A">
        <w:rPr>
          <w:rFonts w:ascii="Arial" w:hAnsi="Arial" w:cs="Arial"/>
          <w:lang w:val="pt-BR"/>
        </w:rPr>
        <w:t>Este gráfico ilustra o contraste financeiro entre os segmentos de clientes.</w:t>
      </w:r>
    </w:p>
    <w:p w14:paraId="531F57B0" w14:textId="77777777" w:rsidR="003D458A" w:rsidRPr="003D458A" w:rsidRDefault="003D458A" w:rsidP="003D458A">
      <w:pPr>
        <w:pStyle w:val="NormalWeb"/>
        <w:numPr>
          <w:ilvl w:val="0"/>
          <w:numId w:val="9"/>
        </w:numPr>
        <w:rPr>
          <w:rFonts w:ascii="Arial" w:hAnsi="Arial" w:cs="Arial"/>
          <w:lang w:val="pt-BR"/>
        </w:rPr>
      </w:pPr>
      <w:r w:rsidRPr="003D458A">
        <w:rPr>
          <w:rFonts w:ascii="Arial" w:hAnsi="Arial" w:cs="Arial"/>
          <w:b/>
          <w:bCs/>
          <w:lang w:val="pt-BR"/>
        </w:rPr>
        <w:t>Insight:</w:t>
      </w:r>
      <w:r w:rsidRPr="003D458A">
        <w:rPr>
          <w:rFonts w:ascii="Arial" w:hAnsi="Arial" w:cs="Arial"/>
          <w:lang w:val="pt-BR"/>
        </w:rPr>
        <w:t xml:space="preserve"> Prova final da importância da fidelização: os clientes recorrentes (a minoria numérica) geram a grande maioria da receita total (</w:t>
      </w:r>
      <w:r w:rsidRPr="003D458A">
        <w:rPr>
          <w:rFonts w:ascii="Arial" w:hAnsi="Arial" w:cs="Arial"/>
          <w:b/>
          <w:bCs/>
          <w:lang w:val="pt-BR"/>
        </w:rPr>
        <w:t>71,74%</w:t>
      </w:r>
      <w:r w:rsidRPr="003D458A">
        <w:rPr>
          <w:rFonts w:ascii="Arial" w:hAnsi="Arial" w:cs="Arial"/>
          <w:lang w:val="pt-BR"/>
        </w:rPr>
        <w:t xml:space="preserve">, ou </w:t>
      </w:r>
      <w:r w:rsidRPr="003D458A">
        <w:rPr>
          <w:rFonts w:ascii="Arial" w:hAnsi="Arial" w:cs="Arial"/>
          <w:b/>
          <w:bCs/>
          <w:lang w:val="pt-BR"/>
        </w:rPr>
        <w:t>R$ 4,44 milhões</w:t>
      </w:r>
      <w:r w:rsidRPr="003D458A">
        <w:rPr>
          <w:rFonts w:ascii="Arial" w:hAnsi="Arial" w:cs="Arial"/>
          <w:lang w:val="pt-BR"/>
        </w:rPr>
        <w:t>).</w:t>
      </w:r>
    </w:p>
    <w:p w14:paraId="7473D1ED" w14:textId="77777777" w:rsidR="003D458A" w:rsidRDefault="003D458A" w:rsidP="006250A1">
      <w:pPr>
        <w:pStyle w:val="NormalWeb"/>
        <w:ind w:left="360"/>
        <w:jc w:val="center"/>
        <w:rPr>
          <w:rFonts w:ascii="Arial" w:hAnsi="Arial" w:cs="Arial"/>
          <w:lang w:val="pt-BR"/>
        </w:rPr>
      </w:pPr>
      <w:r>
        <w:rPr>
          <w:noProof/>
        </w:rPr>
        <w:drawing>
          <wp:inline distT="0" distB="0" distL="0" distR="0" wp14:anchorId="6271CBA7" wp14:editId="40AE99D7">
            <wp:extent cx="5086064" cy="2525768"/>
            <wp:effectExtent l="0" t="0" r="635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0188" cy="253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E52B" w14:textId="6D252623" w:rsidR="006250A1" w:rsidRPr="003D458A" w:rsidRDefault="006250A1" w:rsidP="006250A1">
      <w:pPr>
        <w:pStyle w:val="NormalWeb"/>
        <w:ind w:left="360"/>
        <w:jc w:val="center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Gráfico 4 – Participação na Receita: Recorrentes </w:t>
      </w:r>
      <w:proofErr w:type="spellStart"/>
      <w:r>
        <w:rPr>
          <w:rFonts w:ascii="Arial" w:hAnsi="Arial" w:cs="Arial"/>
          <w:lang w:val="pt-BR"/>
        </w:rPr>
        <w:t>vs</w:t>
      </w:r>
      <w:proofErr w:type="spellEnd"/>
      <w:r>
        <w:rPr>
          <w:rFonts w:ascii="Arial" w:hAnsi="Arial" w:cs="Arial"/>
          <w:lang w:val="pt-BR"/>
        </w:rPr>
        <w:t xml:space="preserve"> Não-Recorrentes</w:t>
      </w:r>
    </w:p>
    <w:p w14:paraId="1A496CE2" w14:textId="77777777" w:rsidR="00F05C4D" w:rsidRPr="003D458A" w:rsidRDefault="00F05C4D">
      <w:pPr>
        <w:rPr>
          <w:lang w:val="pt-BR"/>
        </w:rPr>
      </w:pPr>
    </w:p>
    <w:sectPr w:rsidR="00F05C4D" w:rsidRPr="003D458A" w:rsidSect="003D458A">
      <w:pgSz w:w="12240" w:h="15840"/>
      <w:pgMar w:top="141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782"/>
    <w:multiLevelType w:val="multilevel"/>
    <w:tmpl w:val="3488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B1BF7"/>
    <w:multiLevelType w:val="multilevel"/>
    <w:tmpl w:val="F5EE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65D94"/>
    <w:multiLevelType w:val="multilevel"/>
    <w:tmpl w:val="5CF2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4086F"/>
    <w:multiLevelType w:val="multilevel"/>
    <w:tmpl w:val="91E8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D5C37"/>
    <w:multiLevelType w:val="multilevel"/>
    <w:tmpl w:val="09A4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22701"/>
    <w:multiLevelType w:val="multilevel"/>
    <w:tmpl w:val="370C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A3203"/>
    <w:multiLevelType w:val="multilevel"/>
    <w:tmpl w:val="9BE6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434DC5"/>
    <w:multiLevelType w:val="multilevel"/>
    <w:tmpl w:val="9222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F79AF"/>
    <w:multiLevelType w:val="multilevel"/>
    <w:tmpl w:val="FEBA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756729">
    <w:abstractNumId w:val="4"/>
  </w:num>
  <w:num w:numId="2" w16cid:durableId="1326593236">
    <w:abstractNumId w:val="0"/>
  </w:num>
  <w:num w:numId="3" w16cid:durableId="186408639">
    <w:abstractNumId w:val="3"/>
  </w:num>
  <w:num w:numId="4" w16cid:durableId="983659724">
    <w:abstractNumId w:val="5"/>
  </w:num>
  <w:num w:numId="5" w16cid:durableId="1308902420">
    <w:abstractNumId w:val="8"/>
  </w:num>
  <w:num w:numId="6" w16cid:durableId="1820726489">
    <w:abstractNumId w:val="2"/>
  </w:num>
  <w:num w:numId="7" w16cid:durableId="207690499">
    <w:abstractNumId w:val="7"/>
  </w:num>
  <w:num w:numId="8" w16cid:durableId="621154756">
    <w:abstractNumId w:val="1"/>
  </w:num>
  <w:num w:numId="9" w16cid:durableId="12035900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58A"/>
    <w:rsid w:val="003D458A"/>
    <w:rsid w:val="006250A1"/>
    <w:rsid w:val="006C1F32"/>
    <w:rsid w:val="006D74EC"/>
    <w:rsid w:val="00786871"/>
    <w:rsid w:val="008A3093"/>
    <w:rsid w:val="00D72EB5"/>
    <w:rsid w:val="00F0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E26CB"/>
  <w15:chartTrackingRefBased/>
  <w15:docId w15:val="{4AAE070E-ED8D-43E5-B82A-B2C106E56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D45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rsid w:val="003D45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4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3D45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rsid w:val="003D458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ath-inline">
    <w:name w:val="math-inline"/>
    <w:basedOn w:val="Fontepargpadro"/>
    <w:rsid w:val="003D45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6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639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Nicolly da Silva Soares</cp:lastModifiedBy>
  <cp:revision>2</cp:revision>
  <dcterms:created xsi:type="dcterms:W3CDTF">2026-05-11T23:17:00Z</dcterms:created>
  <dcterms:modified xsi:type="dcterms:W3CDTF">2026-05-11T23:17:00Z</dcterms:modified>
</cp:coreProperties>
</file>