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0" w:lineRule="auto"/>
        <w:jc w:val="center"/>
        <w:rPr/>
      </w:pPr>
      <w:r w:rsidDel="00000000" w:rsidR="00000000" w:rsidRPr="00000000">
        <w:rPr>
          <w:color w:val="6b7280"/>
          <w:rtl w:val="0"/>
        </w:rPr>
        <w:t xml:space="preserve">FUNDAÇÃO ESCOLA DE COMÉRCIO ÁLVARES PENTEADO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0f766e"/>
          <w:sz w:val="40"/>
          <w:szCs w:val="40"/>
          <w:rtl w:val="0"/>
        </w:rPr>
        <w:t xml:space="preserve">RELATÓRIO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Ética no Desenvolvimento de Jogos Digitais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mecânicas de monetização dos jogos digitais e sua associação com o desenvolvimento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comportamentos compulsivos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Tema geral: </w:t>
      </w:r>
      <w:r w:rsidDel="00000000" w:rsidR="00000000" w:rsidRPr="00000000">
        <w:rPr>
          <w:rtl w:val="0"/>
        </w:rPr>
        <w:t xml:space="preserve">Monetização</w:t>
      </w:r>
    </w:p>
    <w:p w:rsidR="00000000" w:rsidDel="00000000" w:rsidP="00000000" w:rsidRDefault="00000000" w:rsidRPr="00000000" w14:paraId="0000000B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Gabriel Souza Lima</w:t>
      </w:r>
    </w:p>
    <w:p w:rsidR="00000000" w:rsidDel="00000000" w:rsidP="00000000" w:rsidRDefault="00000000" w:rsidRPr="00000000" w14:paraId="00000010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Larissa Destro Sousa</w:t>
      </w:r>
    </w:p>
    <w:p w:rsidR="00000000" w:rsidDel="00000000" w:rsidP="00000000" w:rsidRDefault="00000000" w:rsidRPr="00000000" w14:paraId="00000011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Luan da Silva dos Santos</w:t>
      </w:r>
    </w:p>
    <w:p w:rsidR="00000000" w:rsidDel="00000000" w:rsidP="00000000" w:rsidRDefault="00000000" w:rsidRPr="00000000" w14:paraId="00000012">
      <w:pPr>
        <w:spacing w:after="800" w:lineRule="auto"/>
        <w:jc w:val="center"/>
        <w:rPr/>
      </w:pPr>
      <w:r w:rsidDel="00000000" w:rsidR="00000000" w:rsidRPr="00000000">
        <w:rPr>
          <w:rtl w:val="0"/>
        </w:rPr>
        <w:t xml:space="preserve">Pedro Henrique Luvizotto Uehara</w:t>
      </w:r>
    </w:p>
    <w:p w:rsidR="00000000" w:rsidDel="00000000" w:rsidP="00000000" w:rsidRDefault="00000000" w:rsidRPr="00000000" w14:paraId="00000013">
      <w:pPr>
        <w:spacing w:after="8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São Paulo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  <w:t xml:space="preserve"> 07/10/2026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1A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  <w:t xml:space="preserve">1.1 Contexto</w:t>
      </w:r>
    </w:p>
    <w:p w:rsidR="00000000" w:rsidDel="00000000" w:rsidP="00000000" w:rsidRDefault="00000000" w:rsidRPr="00000000" w14:paraId="0000001B">
      <w:pPr>
        <w:pBdr>
          <w:bottom w:color="cccccc" w:space="1" w:sz="4" w:val="single"/>
        </w:pBd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Os jogos digitais tornaram-se um segmento expressivo da indústria cultural brasileira. Segundo a Pesquisa Game Brasil (2024), 73,9% das pessoas afirmaram jogar em 2024, o que evidencia a presença dos jogos na cultura digital contemporânea e o alcance de um público cada vez mais diversificado. Essa ampliação do público, somada ao modelo de jogos como serviço (</w:t>
      </w:r>
      <w:r w:rsidDel="00000000" w:rsidR="00000000" w:rsidRPr="00000000">
        <w:rPr>
          <w:i w:val="1"/>
          <w:iCs w:val="1"/>
          <w:rtl w:val="0"/>
        </w:rPr>
        <w:t xml:space="preserve">games as a service</w:t>
      </w:r>
      <w:r w:rsidDel="00000000" w:rsidR="00000000" w:rsidRPr="00000000">
        <w:rPr>
          <w:rtl w:val="0"/>
        </w:rPr>
        <w:t xml:space="preserve">) (King; </w:t>
      </w:r>
      <w:r w:rsidDel="00000000" w:rsidR="00000000" w:rsidRPr="00000000">
        <w:rPr>
          <w:rtl w:val="0"/>
        </w:rPr>
        <w:t xml:space="preserve">Delfabbro</w:t>
      </w:r>
      <w:r w:rsidDel="00000000" w:rsidR="00000000" w:rsidRPr="00000000">
        <w:rPr>
          <w:rtl w:val="0"/>
        </w:rPr>
        <w:t xml:space="preserve">, 2019), contribui para a transformação dos jogos em produtos virtuais de alto retorno financeiro, fenômeno que Verbicaro e Monteiro (2026) descrevem como um avanço da mercantilização dos jogos.</w:t>
      </w:r>
    </w:p>
    <w:p w:rsidR="00000000" w:rsidDel="00000000" w:rsidP="00000000" w:rsidRDefault="00000000" w:rsidRPr="00000000" w14:paraId="0000001C">
      <w:pPr>
        <w:pBdr>
          <w:bottom w:color="cccccc" w:space="1" w:sz="4" w:val="single"/>
        </w:pBd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Além disso, há um crescente debate sobre os possíveis efeitos dessa comercialização sobre o comportamento dos jogadores e o desenvolvimento de padrões de uso. Um exemplo são as chamadas </w:t>
      </w:r>
      <w:r w:rsidDel="00000000" w:rsidR="00000000" w:rsidRPr="00000000">
        <w:rPr>
          <w:i w:val="1"/>
          <w:iCs w:val="1"/>
          <w:rtl w:val="0"/>
        </w:rPr>
        <w:t xml:space="preserve">loot boxes</w:t>
      </w:r>
      <w:r w:rsidDel="00000000" w:rsidR="00000000" w:rsidRPr="00000000">
        <w:rPr>
          <w:rtl w:val="0"/>
        </w:rPr>
        <w:t xml:space="preserve">, itens virtuais consumíveis que concedem ao usuário recompensas aleatórias. Segundo Góes Filho, Brait e Souza (2025), esses elementos podem estimular expectativas e comportamentos de compra, além de favorecer um ciclo de consumo que, em determinados casos, pode estar associado ao desenvolvimento de comportamentos semelhantes aos observados em práticas de jogos de azar.</w:t>
      </w:r>
    </w:p>
    <w:p w:rsidR="00000000" w:rsidDel="00000000" w:rsidP="00000000" w:rsidRDefault="00000000" w:rsidRPr="00000000" w14:paraId="0000001D">
      <w:pPr>
        <w:pBdr>
          <w:bottom w:color="cccccc" w:space="1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  <w:t xml:space="preserve">1.2 Problemas</w:t>
      </w:r>
    </w:p>
    <w:p w:rsidR="00000000" w:rsidDel="00000000" w:rsidP="00000000" w:rsidRDefault="00000000" w:rsidRPr="00000000" w14:paraId="0000001F">
      <w:pPr>
        <w:pBdr>
          <w:bottom w:color="cccccc" w:space="1" w:sz="4" w:val="single"/>
        </w:pBd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Como os modelos de monetização podem contribuir para comportamentos de dependência e compulsividade em jogos digitais.</w:t>
      </w:r>
    </w:p>
    <w:p w:rsidR="00000000" w:rsidDel="00000000" w:rsidP="00000000" w:rsidRDefault="00000000" w:rsidRPr="00000000" w14:paraId="00000020">
      <w:pPr>
        <w:pBdr>
          <w:bottom w:color="cccccc" w:space="1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  <w:t xml:space="preserve">1.3 Objetivo Geral</w:t>
      </w:r>
    </w:p>
    <w:p w:rsidR="00000000" w:rsidDel="00000000" w:rsidP="00000000" w:rsidRDefault="00000000" w:rsidRPr="00000000" w14:paraId="00000022">
      <w:pPr>
        <w:pBdr>
          <w:bottom w:color="cccccc" w:space="1" w:sz="4" w:val="single"/>
        </w:pBdr>
        <w:spacing w:after="200" w:lineRule="auto"/>
        <w:rPr>
          <w:i w:val="1"/>
          <w:iCs w:val="1"/>
          <w:color w:val="6b7280"/>
          <w:sz w:val="20"/>
          <w:szCs w:val="20"/>
        </w:rPr>
      </w:pPr>
      <w:r w:rsidDel="00000000" w:rsidR="00000000" w:rsidRPr="00000000">
        <w:rPr>
          <w:rtl w:val="0"/>
        </w:rPr>
        <w:t xml:space="preserve">Analisar de que maneira as estratégias de monetização presentes nos jogos digitais podem contribuir para o desenvolvimento de comportamentos de dependência e compulsividade, considerando seus aspectos éticos, os mecanismos utilizados pelas empresas e a vulnerabilidade de diferentes grupos de jogadores.</w:t>
      </w: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bottom w:color="cccccc" w:space="1" w:sz="4" w:val="single"/>
        </w:pBdr>
        <w:spacing w:after="200" w:lineRule="auto"/>
        <w:rPr>
          <w:i w:val="1"/>
          <w:iCs w:val="1"/>
          <w:color w:val="6b72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  <w:t xml:space="preserve">1.4 Objetivos Específicos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Analisar e identificar estratégias predatórias de monetização no mercado de jogos digitais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Compreender a contribuição dos jogos eletrônicos para o desenvolvimento de padrões consumistas e transtornos mentais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Mapear, com base em fontes de pesquisa, os grupos demográficos mais vulneráveis e suscetíveis às práticas de monetização potencialmente predatórias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cccccc" w:space="1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  <w:t xml:space="preserve">1.5 Delimitação do Escopo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Este relatório concentra-se na análise ética das principais estratégias de monetização utilizadas em jogos digitais, principalmente em relação às loot boxes e em outros mecanismos que facilitem e estimulem hábitos de consumo descontrolados. Também não serão analisados aspectos financeiros das empresas, como faturamento ou estratégias de mercado que não estejam diretamente relacionadas à monetização dentro dos jogos. </w:t>
      </w:r>
    </w:p>
    <w:p w:rsidR="00000000" w:rsidDel="00000000" w:rsidP="00000000" w:rsidRDefault="00000000" w:rsidRPr="00000000" w14:paraId="0000002B">
      <w:pPr>
        <w:pStyle w:val="Heading1"/>
        <w:spacing w:after="160" w:before="360" w:lineRule="auto"/>
        <w:rPr>
          <w:i w:val="1"/>
          <w:iCs w:val="1"/>
          <w:color w:val="6b7280"/>
          <w:sz w:val="20"/>
          <w:szCs w:val="20"/>
        </w:rPr>
      </w:pPr>
      <w:r w:rsidDel="00000000" w:rsidR="00000000" w:rsidRPr="00000000">
        <w:rPr>
          <w:rtl w:val="0"/>
        </w:rPr>
        <w:t xml:space="preserve">2. Referencial Teórico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before="0" w:line="312" w:lineRule="auto"/>
        <w:jc w:val="both"/>
        <w:rPr/>
      </w:pPr>
      <w:r w:rsidDel="00000000" w:rsidR="00000000" w:rsidRPr="00000000">
        <w:rPr>
          <w:rtl w:val="0"/>
        </w:rPr>
        <w:t xml:space="preserve">A monetização dos jogos digitais teve transformações significativas com a implementação das microtransações e da mercantilização dos modelos de jogos como serviço. Antes baseada na venda única do jogo, passou a incluir </w:t>
      </w:r>
      <w:r w:rsidDel="00000000" w:rsidR="00000000" w:rsidRPr="00000000">
        <w:rPr>
          <w:i w:val="1"/>
          <w:iCs w:val="1"/>
          <w:rtl w:val="0"/>
        </w:rPr>
        <w:t xml:space="preserve">free-to-play</w:t>
      </w:r>
      <w:r w:rsidDel="00000000" w:rsidR="00000000" w:rsidRPr="00000000">
        <w:rPr>
          <w:rtl w:val="0"/>
        </w:rPr>
        <w:t xml:space="preserve">, DLCs, passes de batalha, moedas virtuais e </w:t>
      </w:r>
      <w:r w:rsidDel="00000000" w:rsidR="00000000" w:rsidRPr="00000000">
        <w:rPr>
          <w:i w:val="1"/>
          <w:iCs w:val="1"/>
          <w:rtl w:val="0"/>
        </w:rPr>
        <w:t xml:space="preserve">loot boxes</w:t>
      </w:r>
      <w:r w:rsidDel="00000000" w:rsidR="00000000" w:rsidRPr="00000000">
        <w:rPr>
          <w:rtl w:val="0"/>
        </w:rPr>
        <w:t xml:space="preserve">, em que o jogo segue gerando receita ao longo do tempo (King; </w:t>
      </w:r>
      <w:r w:rsidDel="00000000" w:rsidR="00000000" w:rsidRPr="00000000">
        <w:rPr>
          <w:rtl w:val="0"/>
        </w:rPr>
        <w:t xml:space="preserve">Delfabbro</w:t>
      </w:r>
      <w:r w:rsidDel="00000000" w:rsidR="00000000" w:rsidRPr="00000000">
        <w:rPr>
          <w:rtl w:val="0"/>
        </w:rPr>
        <w:t xml:space="preserve">, 2019; Verbicaro; Monteiro, 2026).</w:t>
      </w:r>
    </w:p>
    <w:p w:rsidR="00000000" w:rsidDel="00000000" w:rsidP="00000000" w:rsidRDefault="00000000" w:rsidRPr="00000000" w14:paraId="0000002D">
      <w:pPr>
        <w:spacing w:after="160" w:before="0" w:line="312" w:lineRule="auto"/>
        <w:jc w:val="both"/>
        <w:rPr/>
      </w:pPr>
      <w:r w:rsidDel="00000000" w:rsidR="00000000" w:rsidRPr="00000000">
        <w:rPr>
          <w:rtl w:val="0"/>
        </w:rPr>
        <w:t xml:space="preserve">Esses esquemas são chamados de monetização predatória quando disfarçam o custo real, pressionam o jogador a gastar repetidamente e recompensam a compra em vez da habilidade (</w:t>
      </w:r>
      <w:r w:rsidDel="00000000" w:rsidR="00000000" w:rsidRPr="00000000">
        <w:rPr>
          <w:rtl w:val="0"/>
        </w:rPr>
        <w:t xml:space="preserve">Delfabbro</w:t>
      </w:r>
      <w:r w:rsidDel="00000000" w:rsidR="00000000" w:rsidRPr="00000000">
        <w:rPr>
          <w:rtl w:val="0"/>
        </w:rPr>
        <w:t xml:space="preserve">; King, apud Verbicaro; Monteiro, 2026). As </w:t>
      </w:r>
      <w:r w:rsidDel="00000000" w:rsidR="00000000" w:rsidRPr="00000000">
        <w:rPr>
          <w:i w:val="1"/>
          <w:iCs w:val="1"/>
          <w:rtl w:val="0"/>
        </w:rPr>
        <w:t xml:space="preserve">loot boxes</w:t>
      </w:r>
      <w:r w:rsidDel="00000000" w:rsidR="00000000" w:rsidRPr="00000000">
        <w:rPr>
          <w:rtl w:val="0"/>
        </w:rPr>
        <w:t xml:space="preserve">, em particular, são comparadas a jogos de azar por combinarem pagamento, incerteza e recompensa (Drummond; Sauer, 2018). Ainda não há critério fechado para definir o que é predatório, mas Xiao e Henderson (2019) sugerem observar o limite de gasto, a manipulação psicológica e o direcionamento a públicos vulneráveis.</w:t>
      </w:r>
    </w:p>
    <w:p w:rsidR="00000000" w:rsidDel="00000000" w:rsidP="00000000" w:rsidRDefault="00000000" w:rsidRPr="00000000" w14:paraId="0000002E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3. Metodologia</w:t>
      </w:r>
    </w:p>
    <w:p w:rsidR="00000000" w:rsidDel="00000000" w:rsidP="00000000" w:rsidRDefault="00000000" w:rsidRPr="00000000" w14:paraId="0000002F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  <w:t xml:space="preserve">3.1 Fontes Consultadas</w:t>
      </w:r>
    </w:p>
    <w:p w:rsidR="00000000" w:rsidDel="00000000" w:rsidP="00000000" w:rsidRDefault="00000000" w:rsidRPr="00000000" w14:paraId="00000030">
      <w:pPr>
        <w:spacing w:after="160" w:before="0" w:line="312" w:lineRule="auto"/>
        <w:jc w:val="both"/>
        <w:rPr/>
      </w:pPr>
      <w:r w:rsidDel="00000000" w:rsidR="00000000" w:rsidRPr="00000000">
        <w:rPr>
          <w:rtl w:val="0"/>
        </w:rPr>
        <w:t xml:space="preserve">Foi realizada uma pesquisa bibliográfica qualitativa, com base em 10 fontes: Drummond e Sauer (2018), Dutra et al. (2026), Góes Filho, Brait e Souza (2025), Hing et al. (2022), King e Delfabbro (2019), Verbicaro e Monteiro (2026), Xiao e Henderson (2021), Silva Filho (2023). Esses materiais abrangem as esferas jurídicas, psicológicas e de game design, além disso, foram utilizados para analisar as estratégias de monetização, os impactos na saúde mental e os grupos mais vulneráveis.</w:t>
      </w:r>
    </w:p>
    <w:p w:rsidR="00000000" w:rsidDel="00000000" w:rsidP="00000000" w:rsidRDefault="00000000" w:rsidRPr="00000000" w14:paraId="00000031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  <w:t xml:space="preserve">3.2 Critérios de Seleção</w:t>
      </w:r>
    </w:p>
    <w:p w:rsidR="00000000" w:rsidDel="00000000" w:rsidP="00000000" w:rsidRDefault="00000000" w:rsidRPr="00000000" w14:paraId="00000032">
      <w:pPr>
        <w:spacing w:after="160" w:line="312" w:lineRule="auto"/>
        <w:jc w:val="both"/>
        <w:rPr/>
      </w:pPr>
      <w:r w:rsidDel="00000000" w:rsidR="00000000" w:rsidRPr="00000000">
        <w:rPr>
          <w:rtl w:val="0"/>
        </w:rPr>
        <w:t xml:space="preserve">As fontes foram selecionadas com base em cinco critérios: (i) </w:t>
      </w:r>
      <w:r w:rsidDel="00000000" w:rsidR="00000000" w:rsidRPr="00000000">
        <w:rPr>
          <w:b w:val="1"/>
          <w:bCs w:val="1"/>
          <w:rtl w:val="0"/>
        </w:rPr>
        <w:t xml:space="preserve">aderência temática</w:t>
      </w:r>
      <w:r w:rsidDel="00000000" w:rsidR="00000000" w:rsidRPr="00000000">
        <w:rPr>
          <w:rtl w:val="0"/>
        </w:rPr>
        <w:t xml:space="preserve">, isto é, relação direta com monetização, </w:t>
      </w:r>
      <w:r w:rsidDel="00000000" w:rsidR="00000000" w:rsidRPr="00000000">
        <w:rPr>
          <w:i w:val="1"/>
          <w:iCs w:val="1"/>
          <w:rtl w:val="0"/>
        </w:rPr>
        <w:t xml:space="preserve">loot boxes</w:t>
      </w:r>
      <w:r w:rsidDel="00000000" w:rsidR="00000000" w:rsidRPr="00000000">
        <w:rPr>
          <w:rtl w:val="0"/>
        </w:rPr>
        <w:t xml:space="preserve">, microtransações, vulnerabilidade de jogadores ou saúde mental; (ii) </w:t>
      </w:r>
      <w:r w:rsidDel="00000000" w:rsidR="00000000" w:rsidRPr="00000000">
        <w:rPr>
          <w:b w:val="1"/>
          <w:bCs w:val="1"/>
          <w:rtl w:val="0"/>
        </w:rPr>
        <w:t xml:space="preserve">natureza acadêmica</w:t>
      </w:r>
      <w:r w:rsidDel="00000000" w:rsidR="00000000" w:rsidRPr="00000000">
        <w:rPr>
          <w:rtl w:val="0"/>
        </w:rPr>
        <w:t xml:space="preserve">, priorizando artigos científicos; (iii) </w:t>
      </w:r>
      <w:r w:rsidDel="00000000" w:rsidR="00000000" w:rsidRPr="00000000">
        <w:rPr>
          <w:b w:val="1"/>
          <w:bCs w:val="1"/>
          <w:rtl w:val="0"/>
        </w:rPr>
        <w:t xml:space="preserve">atualidade</w:t>
      </w:r>
      <w:r w:rsidDel="00000000" w:rsidR="00000000" w:rsidRPr="00000000">
        <w:rPr>
          <w:rtl w:val="0"/>
        </w:rPr>
        <w:t xml:space="preserve">, com foco em artigos científicos publicados entre 2018 e 2026; (iv) </w:t>
      </w:r>
      <w:r w:rsidDel="00000000" w:rsidR="00000000" w:rsidRPr="00000000">
        <w:rPr>
          <w:b w:val="1"/>
          <w:bCs w:val="1"/>
          <w:rtl w:val="0"/>
        </w:rPr>
        <w:t xml:space="preserve">diversidade de enfoques</w:t>
      </w:r>
      <w:r w:rsidDel="00000000" w:rsidR="00000000" w:rsidRPr="00000000">
        <w:rPr>
          <w:rtl w:val="0"/>
        </w:rPr>
        <w:t xml:space="preserve">, de modo a abordagem das perspectivas jurídicas, psicológicas e de </w:t>
      </w:r>
      <w:r w:rsidDel="00000000" w:rsidR="00000000" w:rsidRPr="00000000">
        <w:rPr>
          <w:i w:val="1"/>
          <w:iCs w:val="1"/>
          <w:rtl w:val="0"/>
        </w:rPr>
        <w:t xml:space="preserve">game design</w:t>
      </w:r>
      <w:r w:rsidDel="00000000" w:rsidR="00000000" w:rsidRPr="00000000">
        <w:rPr>
          <w:rtl w:val="0"/>
        </w:rPr>
        <w:t xml:space="preserve">; e (v) </w:t>
      </w:r>
      <w:r w:rsidDel="00000000" w:rsidR="00000000" w:rsidRPr="00000000">
        <w:rPr>
          <w:b w:val="1"/>
          <w:bCs w:val="1"/>
          <w:rtl w:val="0"/>
        </w:rPr>
        <w:t xml:space="preserve">cobertura nacional e internacional</w:t>
      </w:r>
      <w:r w:rsidDel="00000000" w:rsidR="00000000" w:rsidRPr="00000000">
        <w:rPr>
          <w:rtl w:val="0"/>
        </w:rPr>
        <w:t xml:space="preserve">, para relacionar a realidade brasileira ao debate global. </w:t>
      </w:r>
    </w:p>
    <w:p w:rsidR="00000000" w:rsidDel="00000000" w:rsidP="00000000" w:rsidRDefault="00000000" w:rsidRPr="00000000" w14:paraId="00000033">
      <w:pPr>
        <w:spacing w:after="160" w:line="312" w:lineRule="auto"/>
        <w:jc w:val="both"/>
        <w:rPr/>
      </w:pPr>
      <w:r w:rsidDel="00000000" w:rsidR="00000000" w:rsidRPr="00000000">
        <w:rPr>
          <w:rtl w:val="0"/>
        </w:rPr>
        <w:t xml:space="preserve">Em relação aos critérios de não seleção, foram considerados fatores como materiais sem autoria identificável, conteúdos opinativos sem base científica previamente comprovada e obras literárias anteriores ao período de 2018 à 2026. </w:t>
      </w:r>
    </w:p>
    <w:p w:rsidR="00000000" w:rsidDel="00000000" w:rsidP="00000000" w:rsidRDefault="00000000" w:rsidRPr="00000000" w14:paraId="00000034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4. Análise e Resultados</w:t>
      </w:r>
    </w:p>
    <w:p w:rsidR="00000000" w:rsidDel="00000000" w:rsidP="00000000" w:rsidRDefault="00000000" w:rsidRPr="00000000" w14:paraId="00000035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  <w:t xml:space="preserve">4.1 Estratégias predatórias</w:t>
      </w:r>
    </w:p>
    <w:p w:rsidR="00000000" w:rsidDel="00000000" w:rsidP="00000000" w:rsidRDefault="00000000" w:rsidRPr="00000000" w14:paraId="00000036">
      <w:pPr>
        <w:spacing w:after="160" w:before="0" w:line="312" w:lineRule="auto"/>
        <w:jc w:val="both"/>
        <w:rPr/>
      </w:pPr>
      <w:r w:rsidDel="00000000" w:rsidR="00000000" w:rsidRPr="00000000">
        <w:rPr>
          <w:rtl w:val="0"/>
        </w:rPr>
        <w:t xml:space="preserve">As fontes mostram que a monetização predatória combina aleatoriedade, obscurecimento do custo, pressão de tempo e apelo emocional. Dutra et al. (2026) identificam as </w:t>
      </w:r>
      <w:r w:rsidDel="00000000" w:rsidR="00000000" w:rsidRPr="00000000">
        <w:rPr>
          <w:i w:val="1"/>
          <w:iCs w:val="1"/>
          <w:rtl w:val="0"/>
        </w:rPr>
        <w:t xml:space="preserve">loot boxes</w:t>
      </w:r>
      <w:r w:rsidDel="00000000" w:rsidR="00000000" w:rsidRPr="00000000">
        <w:rPr>
          <w:rtl w:val="0"/>
        </w:rPr>
        <w:t xml:space="preserve"> como a prática mais estudada, seguida de moedas virtuais e mecanismos de competitividade e status.</w:t>
      </w:r>
    </w:p>
    <w:p w:rsidR="00000000" w:rsidDel="00000000" w:rsidP="00000000" w:rsidRDefault="00000000" w:rsidRPr="00000000" w14:paraId="00000037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Quadro 1 – Principais estratégias de monetização predatória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200"/>
        <w:gridCol w:w="4800"/>
        <w:gridCol w:w="2638"/>
        <w:tblGridChange w:id="0">
          <w:tblGrid>
            <w:gridCol w:w="2200"/>
            <w:gridCol w:w="4800"/>
            <w:gridCol w:w="2638"/>
          </w:tblGrid>
        </w:tblGridChange>
      </w:tblGrid>
      <w:tr>
        <w:trPr>
          <w:cantSplit w:val="1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Estratégia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Como funciona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Fontes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Loot boxes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Recompensa aleatória paga, com baixa chance de itens raros e reforço intermitente.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Drummond e Sauer (2018)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Moedas virtuais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Escondem o custo em dinheiro real e reduzem a aversão ao pagamento.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Verbicaro e Monteiro (2026); Xiao e Henderson (2019)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Escassez e urgência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Cronômetros, eventos sazonais e lojas rotativas pressionam a compra imediata.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Verbicaro e Monteiro (2026)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Pitty timers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Garantem itens raros após várias tentativas, incentivando a prática do consumo excessivo.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Xiao e Henderson (2019)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00" w:before="6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Fonte: elaborado pelos autores.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before="0" w:line="312" w:lineRule="auto"/>
        <w:jc w:val="both"/>
        <w:rPr/>
      </w:pPr>
      <w:r w:rsidDel="00000000" w:rsidR="00000000" w:rsidRPr="00000000">
        <w:rPr>
          <w:rtl w:val="0"/>
        </w:rPr>
        <w:t xml:space="preserve">No Brasil, a Nota Técnica TJDFT 9/2023 destacou a semelhança das </w:t>
      </w:r>
      <w:r w:rsidDel="00000000" w:rsidR="00000000" w:rsidRPr="00000000">
        <w:rPr>
          <w:i w:val="1"/>
          <w:iCs w:val="1"/>
          <w:rtl w:val="0"/>
        </w:rPr>
        <w:t xml:space="preserve">loot boxes</w:t>
      </w:r>
      <w:r w:rsidDel="00000000" w:rsidR="00000000" w:rsidRPr="00000000">
        <w:rPr>
          <w:rtl w:val="0"/>
        </w:rPr>
        <w:t xml:space="preserve"> com jogos de azar e o fato de a classificação indicativa não considerar a monetização (Verbicaro Monteiro, 2026). A Lei nº 15.211/2025 (ECA Digital) passou a tratar do tema e, segundo Góes Filho, Brait e Souza (2025), proíbe as caixas para menores a partir de março de 2026.</w:t>
      </w:r>
    </w:p>
    <w:p w:rsidR="00000000" w:rsidDel="00000000" w:rsidP="00000000" w:rsidRDefault="00000000" w:rsidRPr="00000000" w14:paraId="00000049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  <w:t xml:space="preserve">4.2 Saúde mental e comportamentos compulsivos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Essa relação entre comportamentos problemáticos e sofrimento psicológico também é abordada por Silva Filho (2023). Em sua revisão sobre </w:t>
      </w:r>
      <w:r w:rsidDel="00000000" w:rsidR="00000000" w:rsidRPr="00000000">
        <w:rPr>
          <w:i w:val="1"/>
          <w:iCs w:val="1"/>
          <w:rtl w:val="0"/>
        </w:rPr>
        <w:t xml:space="preserve">Gaming Disorder</w:t>
      </w:r>
      <w:r w:rsidDel="00000000" w:rsidR="00000000" w:rsidRPr="00000000">
        <w:rPr>
          <w:rtl w:val="0"/>
        </w:rPr>
        <w:t xml:space="preserve">, o autor identificou relações entre o transtorno e sintomas de depressão, ansiedade, TDAH e impulsividade. Um dos estudos analisados, que contou com 166 pacientes com </w:t>
      </w:r>
      <w:r w:rsidDel="00000000" w:rsidR="00000000" w:rsidRPr="00000000">
        <w:rPr>
          <w:i w:val="1"/>
          <w:iCs w:val="1"/>
          <w:rtl w:val="0"/>
        </w:rPr>
        <w:t xml:space="preserve">Gaming Disorder</w:t>
      </w:r>
      <w:r w:rsidDel="00000000" w:rsidR="00000000" w:rsidRPr="00000000">
        <w:rPr>
          <w:rtl w:val="0"/>
        </w:rPr>
        <w:t xml:space="preserve"> e/ou outros problemas relacionados ao uso da internet, encontrou níveis mais altos de depressão e ansiedade, além de dificuldades para realizar atividades do dia a dia, em comparação com pessoas sem esses transtornos. O autor também aponta que problemas no controle das emoções, isolamento social e alterações no sono podem estar relacionados ao transtorno (SILVA FILHO, 2023, p. 21-22).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  <w:t xml:space="preserve">4.3 Grupos mais vulneráveis</w:t>
      </w:r>
    </w:p>
    <w:p w:rsidR="00000000" w:rsidDel="00000000" w:rsidP="00000000" w:rsidRDefault="00000000" w:rsidRPr="00000000" w14:paraId="0000004C">
      <w:pPr>
        <w:keepNext w:val="1"/>
        <w:spacing w:after="80" w:before="1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Quadro 2 – Grupos mais vulneráveis à monetização predatória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300"/>
        <w:gridCol w:w="5000"/>
        <w:gridCol w:w="2338"/>
        <w:tblGridChange w:id="0">
          <w:tblGrid>
            <w:gridCol w:w="2300"/>
            <w:gridCol w:w="5000"/>
            <w:gridCol w:w="2338"/>
          </w:tblGrid>
        </w:tblGridChange>
      </w:tblGrid>
      <w:tr>
        <w:trPr>
          <w:cantSplit w:val="1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Por que é vulnerável?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Fontes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Crianças e adolescentes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Desenvolvimento biopsicossocial ainda em formação, pouca experiência com dinheiro e dificuldade de entender a lógica das loot boxes e seus efeitos.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Verbicaro e Monteiro (2026); Hing et al. (2022)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Homens jovens (até 25 anos)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Maior impulsividade e busca de status; 84,4% da amostra de campo eram homens e 78,1% tinham 18 a 25 anos.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Góes Filho, Brait e Souza (2025)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Pessoas com ansiedade, depressão ou impulsividade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compra pode virar forma de lidar com emoções negativas.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Góes Filho, Brait e Souza (2025)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Pessoas com problemas prévios de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 caixas atraem mais pessoas com históricos pré-existentes de apostas descontroladas.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Hing et al. (2022)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Baixa renda e famílias sem supervisão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Gastos em contexto de limitação financeira e compras sem controle dos responsáveis.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Góes Filho, Brait e Souza (2025); Verbicaro e Monteiro (2026)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5. Conclusões e Recomendações</w:t>
      </w:r>
    </w:p>
    <w:p w:rsidR="00000000" w:rsidDel="00000000" w:rsidP="00000000" w:rsidRDefault="00000000" w:rsidRPr="00000000" w14:paraId="00000060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  <w:t xml:space="preserve">5.1 Síntese</w:t>
      </w:r>
    </w:p>
    <w:p w:rsidR="00000000" w:rsidDel="00000000" w:rsidP="00000000" w:rsidRDefault="00000000" w:rsidRPr="00000000" w14:paraId="00000062">
      <w:pPr>
        <w:spacing w:after="160" w:before="0" w:line="312" w:lineRule="auto"/>
        <w:jc w:val="both"/>
        <w:rPr/>
      </w:pPr>
      <w:r w:rsidDel="00000000" w:rsidR="00000000" w:rsidRPr="00000000">
        <w:rPr>
          <w:rtl w:val="0"/>
        </w:rPr>
        <w:t xml:space="preserve">A pesquisa evidencia que a monetização deixou de ser apenas venda de produto e virou um ciclo de engajamento e gasto, apoiado em </w:t>
      </w:r>
      <w:r w:rsidDel="00000000" w:rsidR="00000000" w:rsidRPr="00000000">
        <w:rPr>
          <w:i w:val="1"/>
          <w:iCs w:val="1"/>
          <w:rtl w:val="0"/>
        </w:rPr>
        <w:t xml:space="preserve">loot boxes</w:t>
      </w:r>
      <w:r w:rsidDel="00000000" w:rsidR="00000000" w:rsidRPr="00000000">
        <w:rPr>
          <w:rtl w:val="0"/>
        </w:rPr>
        <w:t xml:space="preserve">, moedas virtuais, escassez e serviço pago, que exploram vieses éticos, cujos necessitam de reflexão e medidas urgentes. Há associação consistente com jogo problemático e sofrimento psicológico, embora sem prova de causalidade. Os mais vulneráveis são crianças e adolescentes, homens jovens, pessoas com problemas emocionais ou de jogo prévios, pessoas de baixa renda e famílias com pouca supervisão.</w:t>
      </w:r>
    </w:p>
    <w:p w:rsidR="00000000" w:rsidDel="00000000" w:rsidP="00000000" w:rsidRDefault="00000000" w:rsidRPr="00000000" w14:paraId="00000063">
      <w:pPr>
        <w:pStyle w:val="Heading2"/>
        <w:spacing w:after="100" w:before="220" w:lineRule="auto"/>
        <w:rPr/>
      </w:pPr>
      <w:r w:rsidDel="00000000" w:rsidR="00000000" w:rsidRPr="00000000">
        <w:rPr>
          <w:rtl w:val="0"/>
        </w:rPr>
        <w:t xml:space="preserve">5.2 Recomendações Práticas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Desenvolvedoras:</w:t>
      </w:r>
      <w:r w:rsidDel="00000000" w:rsidR="00000000" w:rsidRPr="00000000">
        <w:rPr>
          <w:rtl w:val="0"/>
        </w:rPr>
        <w:t xml:space="preserve"> mostrar o preço em dinheiro real, divulgar probabilidades e evitar prender progresso a mecânicas de sorte.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Plataformas:</w:t>
      </w:r>
      <w:r w:rsidDel="00000000" w:rsidR="00000000" w:rsidRPr="00000000">
        <w:rPr>
          <w:rtl w:val="0"/>
        </w:rPr>
        <w:t xml:space="preserve"> ativar controles parentais por padrão e facilitar reembolso de compras feitas por crianças.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Poder público:</w:t>
      </w:r>
      <w:r w:rsidDel="00000000" w:rsidR="00000000" w:rsidRPr="00000000">
        <w:rPr>
          <w:rtl w:val="0"/>
        </w:rPr>
        <w:t xml:space="preserve"> fiscalizar o ECA Digital e considerar a monetização na classificação indicativa.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Famílias e usuários assíduos:</w:t>
      </w:r>
      <w:r w:rsidDel="00000000" w:rsidR="00000000" w:rsidRPr="00000000">
        <w:rPr>
          <w:rtl w:val="0"/>
        </w:rPr>
        <w:t xml:space="preserve"> acompanhar gastos, conversar sobre como as caixas funcionam e buscar apoio diante de sinais como compra por impulso e culpa.</w:t>
      </w:r>
    </w:p>
    <w:p w:rsidR="00000000" w:rsidDel="00000000" w:rsidP="00000000" w:rsidRDefault="00000000" w:rsidRPr="00000000" w14:paraId="00000068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69">
      <w:pPr>
        <w:spacing w:after="140" w:line="276" w:lineRule="auto"/>
        <w:jc w:val="left"/>
        <w:rPr/>
      </w:pPr>
      <w:r w:rsidDel="00000000" w:rsidR="00000000" w:rsidRPr="00000000">
        <w:rPr>
          <w:rtl w:val="0"/>
        </w:rPr>
        <w:t xml:space="preserve">DRUMMOND, Aaron; SAUER, James D. Video game loot boxes are psychologically akin to gambling. </w:t>
      </w:r>
      <w:r w:rsidDel="00000000" w:rsidR="00000000" w:rsidRPr="00000000">
        <w:rPr>
          <w:i w:val="1"/>
          <w:iCs w:val="1"/>
          <w:rtl w:val="0"/>
        </w:rPr>
        <w:t xml:space="preserve">Nature Human Behaviour</w:t>
      </w:r>
      <w:r w:rsidDel="00000000" w:rsidR="00000000" w:rsidRPr="00000000">
        <w:rPr>
          <w:rtl w:val="0"/>
        </w:rPr>
        <w:t xml:space="preserve">, v. 2, n. 8, p. 530-532, 2018. Acesso em 28 set 2026.</w:t>
      </w:r>
    </w:p>
    <w:p w:rsidR="00000000" w:rsidDel="00000000" w:rsidP="00000000" w:rsidRDefault="00000000" w:rsidRPr="00000000" w14:paraId="0000006A">
      <w:pPr>
        <w:spacing w:after="140" w:line="276" w:lineRule="auto"/>
        <w:jc w:val="left"/>
        <w:rPr/>
      </w:pPr>
      <w:r w:rsidDel="00000000" w:rsidR="00000000" w:rsidRPr="00000000">
        <w:rPr>
          <w:rtl w:val="0"/>
        </w:rPr>
        <w:t xml:space="preserve">DUTRA, Luis Vinicius da Silva Silveira et al. Práticas predatórias de monetização em jogos digitais: um estudo de mapeamento sistemático. In: SBGAMES, 25., 2026, Goiânia. </w:t>
      </w:r>
      <w:r w:rsidDel="00000000" w:rsidR="00000000" w:rsidRPr="00000000">
        <w:rPr>
          <w:i w:val="1"/>
          <w:iCs w:val="1"/>
          <w:rtl w:val="0"/>
        </w:rPr>
        <w:t xml:space="preserve">Anais</w:t>
      </w:r>
      <w:r w:rsidDel="00000000" w:rsidR="00000000" w:rsidRPr="00000000">
        <w:rPr>
          <w:rtl w:val="0"/>
        </w:rPr>
        <w:t xml:space="preserve"> [...]. Goiânia: SBC, 2026. Acesso em 30 set 2026.</w:t>
      </w:r>
    </w:p>
    <w:p w:rsidR="00000000" w:rsidDel="00000000" w:rsidP="00000000" w:rsidRDefault="00000000" w:rsidRPr="00000000" w14:paraId="0000006B">
      <w:pPr>
        <w:spacing w:after="140" w:line="276" w:lineRule="auto"/>
        <w:jc w:val="left"/>
        <w:rPr/>
      </w:pPr>
      <w:r w:rsidDel="00000000" w:rsidR="00000000" w:rsidRPr="00000000">
        <w:rPr>
          <w:rtl w:val="0"/>
        </w:rPr>
        <w:t xml:space="preserve">GÓES FILHO, Norberto Dantas de; BRAIT, Felipe Cardozo; SOUZA, Júlio César Pinto de. </w:t>
      </w:r>
      <w:r w:rsidDel="00000000" w:rsidR="00000000" w:rsidRPr="00000000">
        <w:rPr>
          <w:i w:val="1"/>
          <w:iCs w:val="1"/>
          <w:rtl w:val="0"/>
        </w:rPr>
        <w:t xml:space="preserve">Loot boxes</w:t>
      </w:r>
      <w:r w:rsidDel="00000000" w:rsidR="00000000" w:rsidRPr="00000000">
        <w:rPr>
          <w:rtl w:val="0"/>
        </w:rPr>
        <w:t xml:space="preserve"> nos </w:t>
      </w:r>
      <w:r w:rsidDel="00000000" w:rsidR="00000000" w:rsidRPr="00000000">
        <w:rPr>
          <w:i w:val="1"/>
          <w:iCs w:val="1"/>
          <w:rtl w:val="0"/>
        </w:rPr>
        <w:t xml:space="preserve">videogames</w:t>
      </w:r>
      <w:r w:rsidDel="00000000" w:rsidR="00000000" w:rsidRPr="00000000">
        <w:rPr>
          <w:rtl w:val="0"/>
        </w:rPr>
        <w:t xml:space="preserve">: análise do perfil biopsicossocial dos jogadores e impactos na saúde mental. </w:t>
      </w:r>
      <w:r w:rsidDel="00000000" w:rsidR="00000000" w:rsidRPr="00000000">
        <w:rPr>
          <w:i w:val="1"/>
          <w:iCs w:val="1"/>
          <w:rtl w:val="0"/>
        </w:rPr>
        <w:t xml:space="preserve">Cuadernos de Educación y Desarrollo</w:t>
      </w:r>
      <w:r w:rsidDel="00000000" w:rsidR="00000000" w:rsidRPr="00000000">
        <w:rPr>
          <w:rtl w:val="0"/>
        </w:rPr>
        <w:t xml:space="preserve">, v. 17, n. 11, p. 01-27, 2025. Acesso em 27 set 2026.</w:t>
      </w:r>
    </w:p>
    <w:p w:rsidR="00000000" w:rsidDel="00000000" w:rsidP="00000000" w:rsidRDefault="00000000" w:rsidRPr="00000000" w14:paraId="0000006C">
      <w:pPr>
        <w:spacing w:after="140" w:line="276" w:lineRule="auto"/>
        <w:jc w:val="left"/>
        <w:rPr/>
      </w:pPr>
      <w:r w:rsidDel="00000000" w:rsidR="00000000" w:rsidRPr="00000000">
        <w:rPr>
          <w:rtl w:val="0"/>
        </w:rPr>
        <w:t xml:space="preserve">HING, Nerilee et al. Loot box purchasing is linked to problem gambling in adolescents when controlling for monetary gambling participation. </w:t>
      </w:r>
      <w:r w:rsidDel="00000000" w:rsidR="00000000" w:rsidRPr="00000000">
        <w:rPr>
          <w:i w:val="1"/>
          <w:iCs w:val="1"/>
          <w:rtl w:val="0"/>
        </w:rPr>
        <w:t xml:space="preserve">Journal of Behavioral Addictions</w:t>
      </w:r>
      <w:r w:rsidDel="00000000" w:rsidR="00000000" w:rsidRPr="00000000">
        <w:rPr>
          <w:rtl w:val="0"/>
        </w:rPr>
        <w:t xml:space="preserve">, v. 11, n. 2, 2022. Disponível em: https://akjournals.com/view/journals/2006/11/2/article-p396.xml. Acesso em: 30 set. 2026.</w:t>
      </w:r>
    </w:p>
    <w:p w:rsidR="00000000" w:rsidDel="00000000" w:rsidP="00000000" w:rsidRDefault="00000000" w:rsidRPr="00000000" w14:paraId="0000006D">
      <w:pPr>
        <w:spacing w:after="140" w:line="276" w:lineRule="auto"/>
        <w:jc w:val="left"/>
        <w:rPr/>
      </w:pPr>
      <w:r w:rsidDel="00000000" w:rsidR="00000000" w:rsidRPr="00000000">
        <w:rPr>
          <w:rtl w:val="0"/>
        </w:rPr>
        <w:t xml:space="preserve">KING, Daniel L.; DELFABBRO, Paul H. Video game monetization (e.g., ‘loot boxes’): a blueprint for practical social responsibility measures. </w:t>
      </w:r>
      <w:r w:rsidDel="00000000" w:rsidR="00000000" w:rsidRPr="00000000">
        <w:rPr>
          <w:i w:val="1"/>
          <w:iCs w:val="1"/>
          <w:rtl w:val="0"/>
        </w:rPr>
        <w:t xml:space="preserve">International Journal of Mental Health and Addiction</w:t>
      </w:r>
      <w:r w:rsidDel="00000000" w:rsidR="00000000" w:rsidRPr="00000000">
        <w:rPr>
          <w:rtl w:val="0"/>
        </w:rPr>
        <w:t xml:space="preserve">, v. 17, p. 166-179, 2019. Acesso em: 28 set 2026.</w:t>
      </w:r>
    </w:p>
    <w:p w:rsidR="00000000" w:rsidDel="00000000" w:rsidP="00000000" w:rsidRDefault="00000000" w:rsidRPr="00000000" w14:paraId="0000006E">
      <w:pPr>
        <w:spacing w:after="140" w:line="276" w:lineRule="auto"/>
        <w:jc w:val="left"/>
        <w:rPr/>
      </w:pPr>
      <w:r w:rsidDel="00000000" w:rsidR="00000000" w:rsidRPr="00000000">
        <w:rPr>
          <w:rtl w:val="0"/>
        </w:rPr>
        <w:t xml:space="preserve">VERBICARO, Dennis; MONTEIRO, Lucas Mateus Piedade. A monetização predatória gamer como nova face do assédio de consumo. </w:t>
      </w:r>
      <w:r w:rsidDel="00000000" w:rsidR="00000000" w:rsidRPr="00000000">
        <w:rPr>
          <w:i w:val="1"/>
          <w:iCs w:val="1"/>
          <w:rtl w:val="0"/>
        </w:rPr>
        <w:t xml:space="preserve">Revista de Direito do Consumidor</w:t>
      </w:r>
      <w:r w:rsidDel="00000000" w:rsidR="00000000" w:rsidRPr="00000000">
        <w:rPr>
          <w:rtl w:val="0"/>
        </w:rPr>
        <w:t xml:space="preserve">, São Paulo, v. 163, jan.-fev. 2026. Acesso em 28 set. 2026.</w:t>
      </w:r>
    </w:p>
    <w:p w:rsidR="00000000" w:rsidDel="00000000" w:rsidP="00000000" w:rsidRDefault="00000000" w:rsidRPr="00000000" w14:paraId="0000006F">
      <w:pPr>
        <w:spacing w:after="140" w:line="276" w:lineRule="auto"/>
        <w:jc w:val="left"/>
        <w:rPr/>
      </w:pPr>
      <w:r w:rsidDel="00000000" w:rsidR="00000000" w:rsidRPr="00000000">
        <w:rPr>
          <w:rtl w:val="0"/>
        </w:rPr>
        <w:t xml:space="preserve">XIAO, Leon Y.; HENDERSON, Laura L. Towards an ethical game design solution to loot boxes: a commentary on King and Delfabbro. </w:t>
      </w:r>
      <w:r w:rsidDel="00000000" w:rsidR="00000000" w:rsidRPr="00000000">
        <w:rPr>
          <w:i w:val="1"/>
          <w:iCs w:val="1"/>
          <w:rtl w:val="0"/>
        </w:rPr>
        <w:t xml:space="preserve">International Journal of Mental Health and Addiction</w:t>
      </w:r>
      <w:r w:rsidDel="00000000" w:rsidR="00000000" w:rsidRPr="00000000">
        <w:rPr>
          <w:rtl w:val="0"/>
        </w:rPr>
        <w:t xml:space="preserve">, v. 19, p. 177-192, 2021. DOI: 10.1007/s11469-019-00164-4. Acesso em: 27 set. 2026.</w:t>
      </w:r>
    </w:p>
    <w:p w:rsidR="00000000" w:rsidDel="00000000" w:rsidP="00000000" w:rsidRDefault="00000000" w:rsidRPr="00000000" w14:paraId="00000070">
      <w:pPr>
        <w:spacing w:after="140" w:line="276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THE DIRECTIONALITY of anxiety and gaming disorder: an exploratory analysis of longitudinal data from an Australian youth population</w:t>
      </w:r>
      <w:r w:rsidDel="00000000" w:rsidR="00000000" w:rsidRPr="00000000">
        <w:rPr>
          <w:rtl w:val="0"/>
        </w:rPr>
        <w:t xml:space="preserve">. Disponível em: https://pmc.ncbi.nlm.nih.gov/articles/PMC9672463/. Acesso em: 27 set. 2026.</w:t>
      </w:r>
    </w:p>
    <w:p w:rsidR="00000000" w:rsidDel="00000000" w:rsidP="00000000" w:rsidRDefault="00000000" w:rsidRPr="00000000" w14:paraId="00000071">
      <w:pPr>
        <w:spacing w:after="140" w:line="276" w:lineRule="auto"/>
        <w:jc w:val="left"/>
        <w:rPr/>
      </w:pPr>
      <w:r w:rsidDel="00000000" w:rsidR="00000000" w:rsidRPr="00000000">
        <w:rPr>
          <w:rtl w:val="0"/>
        </w:rPr>
        <w:t xml:space="preserve">BRASIL. Lei nº 15.211, de 17 de setembro de 2025. Dispõe sobre a proteção de crianças e adolescentes em ambientes digitais. Brasília, DF, 2025. Acesso em: 26 set. 2026.</w:t>
      </w:r>
    </w:p>
    <w:p w:rsidR="00000000" w:rsidDel="00000000" w:rsidP="00000000" w:rsidRDefault="00000000" w:rsidRPr="00000000" w14:paraId="0000007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SILVA FILHO, Gutemberg Gomes da Silva. Avaliação clínica de pacientes com Gaming Disorder. 2023. Trabalho de Conclusão de Curso (Graduação em Medicina) – Centro de Ciências Médicas, Universidade Federal da Paraíba, João Pessoa, 2023. Acesso em 30 de set. 2026.</w:t>
      </w:r>
    </w:p>
    <w:p w:rsidR="00000000" w:rsidDel="00000000" w:rsidP="00000000" w:rsidRDefault="00000000" w:rsidRPr="00000000" w14:paraId="00000073">
      <w:pPr>
        <w:spacing w:after="14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f766e" w:space="4" w:sz="8" w:val="single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f766e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2937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