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Times New Roman" w:cs="Times New Roman" w:eastAsia="Times New Roman" w:hAnsi="Times New Roman"/>
          <w:sz w:val="24"/>
          <w:szCs w:val="24"/>
        </w:rPr>
        <w:t xml:space="preserve">FECAP - FUNDAÇÃO ESCOLA DE COMÉRCIO ÁLVARES PENTEADO</w:t>
      </w:r>
    </w:p>
    <w:p>
      <w:pPr>
        <w:spacing w:after="1600"/>
        <w:jc w:val="center"/>
      </w:pPr>
      <w:r>
        <w:rPr>
          <w:rFonts w:ascii="Times New Roman" w:cs="Times New Roman" w:eastAsia="Times New Roman" w:hAnsi="Times New Roman"/>
          <w:sz w:val="24"/>
          <w:szCs w:val="24"/>
        </w:rPr>
        <w:t xml:space="preserve">CURSO DE ANÁLISE E DESENVOLVIMENTO DE SISTEMAS</w:t>
      </w:r>
    </w:p>
    <w:p>
      <w:pPr>
        <w:spacing w:after="60"/>
        <w:jc w:val="center"/>
      </w:pPr>
      <w:r>
        <w:rPr>
          <w:rFonts w:ascii="Times New Roman" w:cs="Times New Roman" w:eastAsia="Times New Roman" w:hAnsi="Times New Roman"/>
          <w:sz w:val="24"/>
          <w:szCs w:val="24"/>
        </w:rPr>
        <w:t xml:space="preserve">Victor de Camargo Natario</w:t>
      </w:r>
    </w:p>
    <w:p>
      <w:pPr>
        <w:spacing w:after="60"/>
        <w:jc w:val="center"/>
      </w:pPr>
      <w:r>
        <w:rPr>
          <w:rFonts w:ascii="Times New Roman" w:cs="Times New Roman" w:eastAsia="Times New Roman" w:hAnsi="Times New Roman"/>
          <w:sz w:val="24"/>
          <w:szCs w:val="24"/>
        </w:rPr>
        <w:t xml:space="preserve">Luiz Felipe da Silva Lima</w:t>
      </w:r>
    </w:p>
    <w:p>
      <w:pPr>
        <w:spacing w:after="60"/>
        <w:jc w:val="center"/>
      </w:pPr>
      <w:r>
        <w:rPr>
          <w:rFonts w:ascii="Times New Roman" w:cs="Times New Roman" w:eastAsia="Times New Roman" w:hAnsi="Times New Roman"/>
          <w:sz w:val="24"/>
          <w:szCs w:val="24"/>
        </w:rPr>
        <w:t xml:space="preserve">Pedro Henrique Araujo Del Picolo</w:t>
      </w:r>
    </w:p>
    <w:p>
      <w:pPr>
        <w:spacing w:after="60"/>
        <w:jc w:val="center"/>
      </w:pPr>
      <w:r>
        <w:rPr>
          <w:rFonts w:ascii="Times New Roman" w:cs="Times New Roman" w:eastAsia="Times New Roman" w:hAnsi="Times New Roman"/>
          <w:sz w:val="24"/>
          <w:szCs w:val="24"/>
        </w:rPr>
        <w:t xml:space="preserve">Andre Ferreira da Silva</w:t>
      </w:r>
    </w:p>
    <w:p>
      <w:pPr>
        <w:spacing w:after="1600"/>
        <w:jc w:val="center"/>
      </w:pPr>
      <w:r>
        <w:rPr>
          <w:rFonts w:ascii="Times New Roman" w:cs="Times New Roman" w:eastAsia="Times New Roman" w:hAnsi="Times New Roman"/>
          <w:sz w:val="24"/>
          <w:szCs w:val="24"/>
        </w:rPr>
        <w:t xml:space="preserve">Nicolas Hayato Nitta</w:t>
      </w:r>
    </w:p>
    <w:p>
      <w:pPr>
        <w:spacing w:after="1600"/>
        <w:jc w:val="center"/>
      </w:pPr>
      <w:r>
        <w:rPr>
          <w:rFonts w:ascii="Times New Roman" w:cs="Times New Roman" w:eastAsia="Times New Roman" w:hAnsi="Times New Roman"/>
          <w:b/>
          <w:bCs/>
          <w:sz w:val="28"/>
          <w:szCs w:val="28"/>
        </w:rPr>
        <w:t xml:space="preserve">FUNDAMENTAÇÃO TEÓRICA, JUSTIFICATIVA E METODOLOGIA DE PESQUISA DE UMA PLATAFORMA INTELIGENTE DE PREVENÇÃO DE FALHAS EM AMBIENTES DE DESENVOLVIMENTO, HOMOLOGAÇÃO E PRODUÇÃO</w:t>
      </w:r>
    </w:p>
    <w:p>
      <w:pPr>
        <w:spacing w:after="2000"/>
      </w:pPr>
    </w:p>
    <w:p>
      <w:pPr>
        <w:jc w:val="center"/>
      </w:pPr>
      <w:r>
        <w:rPr>
          <w:rFonts w:ascii="Times New Roman" w:cs="Times New Roman" w:eastAsia="Times New Roman" w:hAnsi="Times New Roman"/>
          <w:sz w:val="24"/>
          <w:szCs w:val="24"/>
        </w:rPr>
        <w:t xml:space="preserve">São Paulo</w:t>
      </w:r>
    </w:p>
    <w:p>
      <w:pPr>
        <w:jc w:val="center"/>
      </w:pPr>
      <w:r>
        <w:rPr>
          <w:rFonts w:ascii="Times New Roman" w:cs="Times New Roman" w:eastAsia="Times New Roman" w:hAnsi="Times New Roman"/>
          <w:sz w:val="24"/>
          <w:szCs w:val="24"/>
        </w:rPr>
        <w:t xml:space="preserve">2026</w:t>
      </w:r>
    </w:p>
    <w:p>
      <w:r>
        <w:br w:type="page"/>
      </w:r>
    </w:p>
    <w:p>
      <w:pPr>
        <w:pStyle w:val="Heading1"/>
        <w:spacing w:after="240" w:before="480" w:line="360"/>
        <w:jc w:val="left"/>
      </w:pPr>
      <w:bookmarkStart w:name="_Toc1" w:id="1"/>
      <w:r>
        <w:rPr>
          <w:rFonts w:ascii="Times New Roman" w:cs="Times New Roman" w:eastAsia="Times New Roman" w:hAnsi="Times New Roman"/>
          <w:b/>
          <w:bCs/>
          <w:sz w:val="24"/>
          <w:szCs w:val="24"/>
        </w:rPr>
        <w:t xml:space="preserve">SUMÁRIO</w:t>
      </w:r>
      <w:bookmarkEnd w:id="1"/>
    </w:p>
    <w:sdt>
      <w:sdtPr>
        <w:alias w:val="Sumário"/>
      </w:sdtPr>
      <w:sdtContent>
        <w:p>
          <w:pPr>
            <w:pStyle w:val="TOC1"/>
            <w:tabs>
              <w:tab w:val="right" w:pos="9071" w:leader="dot"/>
            </w:tabs>
          </w:pPr>
          <w:r>
            <w:fldChar w:fldCharType="begin" w:dirty="true"/>
            <w:instrText xml:space="preserve">TOC \h \o "1-2"</w:instrText>
            <w:fldChar w:fldCharType="separate"/>
          </w:r>
          <w:hyperlink w:history="1" w:anchor="_Toc1">
            <w:r>
              <w:t xml:space="preserve">SUMÁRIO</w:t>
            </w:r>
            <w:r>
              <w:tab/>
            </w:r>
            <w:r>
              <w:fldChar w:fldCharType="begin" w:dirty="true"/>
              <w:instrText xml:space="preserve">PAGEREF _Toc1 \h</w:instrText>
              <w:fldChar w:fldCharType="separate"/>
              <w:fldChar w:fldCharType="end"/>
            </w:r>
          </w:hyperlink>
        </w:p>
        <w:p>
          <w:pPr>
            <w:pStyle w:val="TOC1"/>
            <w:tabs>
              <w:tab w:val="right" w:pos="9071" w:leader="dot"/>
            </w:tabs>
          </w:pPr>
          <w:hyperlink w:history="1" w:anchor="_Toc2">
            <w:r>
              <w:t xml:space="preserve">1 REVISÃO BIBLIOGRÁFICA E ESTADO DA ARTE</w:t>
            </w:r>
            <w:r>
              <w:tab/>
            </w:r>
            <w:r>
              <w:fldChar w:fldCharType="begin" w:dirty="true"/>
              <w:instrText xml:space="preserve">PAGEREF _Toc2 \h</w:instrText>
              <w:fldChar w:fldCharType="separate"/>
              <w:fldChar w:fldCharType="end"/>
            </w:r>
          </w:hyperlink>
        </w:p>
        <w:p>
          <w:pPr>
            <w:pStyle w:val="TOC2"/>
            <w:tabs>
              <w:tab w:val="right" w:pos="9071" w:leader="dot"/>
            </w:tabs>
            <w:ind w:left="220"/>
          </w:pPr>
          <w:hyperlink w:history="1" w:anchor="_Toc3">
            <w:r>
              <w:t xml:space="preserve">1.1 Ferramentas de mercado: o que já existe</w:t>
            </w:r>
            <w:r>
              <w:tab/>
            </w:r>
            <w:r>
              <w:fldChar w:fldCharType="begin" w:dirty="true"/>
              <w:instrText xml:space="preserve">PAGEREF _Toc3 \h</w:instrText>
              <w:fldChar w:fldCharType="separate"/>
              <w:fldChar w:fldCharType="end"/>
            </w:r>
          </w:hyperlink>
        </w:p>
        <w:p>
          <w:pPr>
            <w:pStyle w:val="TOC2"/>
            <w:tabs>
              <w:tab w:val="right" w:pos="9071" w:leader="dot"/>
            </w:tabs>
            <w:ind w:left="220"/>
          </w:pPr>
          <w:hyperlink w:history="1" w:anchor="_Toc4">
            <w:r>
              <w:t xml:space="preserve">1.2 Estudos acadêmicos sobre análise de impacto de mudanças</w:t>
            </w:r>
            <w:r>
              <w:tab/>
            </w:r>
            <w:r>
              <w:fldChar w:fldCharType="begin" w:dirty="true"/>
              <w:instrText xml:space="preserve">PAGEREF _Toc4 \h</w:instrText>
              <w:fldChar w:fldCharType="separate"/>
              <w:fldChar w:fldCharType="end"/>
            </w:r>
          </w:hyperlink>
        </w:p>
        <w:p>
          <w:pPr>
            <w:pStyle w:val="TOC2"/>
            <w:tabs>
              <w:tab w:val="right" w:pos="9071" w:leader="dot"/>
            </w:tabs>
            <w:ind w:left="220"/>
          </w:pPr>
          <w:hyperlink w:history="1" w:anchor="_Toc5">
            <w:r>
              <w:t xml:space="preserve">1.3 Estudos acadêmicos sobre uso de LLMs em revisão de código</w:t>
            </w:r>
            <w:r>
              <w:tab/>
            </w:r>
            <w:r>
              <w:fldChar w:fldCharType="begin" w:dirty="true"/>
              <w:instrText xml:space="preserve">PAGEREF _Toc5 \h</w:instrText>
              <w:fldChar w:fldCharType="separate"/>
              <w:fldChar w:fldCharType="end"/>
            </w:r>
          </w:hyperlink>
        </w:p>
        <w:p>
          <w:pPr>
            <w:pStyle w:val="TOC2"/>
            <w:tabs>
              <w:tab w:val="right" w:pos="9071" w:leader="dot"/>
            </w:tabs>
            <w:ind w:left="220"/>
          </w:pPr>
          <w:hyperlink w:history="1" w:anchor="_Toc6">
            <w:r>
              <w:t xml:space="preserve">1.4 Lacuna de pesquisa identificada</w:t>
            </w:r>
            <w:r>
              <w:tab/>
            </w:r>
            <w:r>
              <w:fldChar w:fldCharType="begin" w:dirty="true"/>
              <w:instrText xml:space="preserve">PAGEREF _Toc6 \h</w:instrText>
              <w:fldChar w:fldCharType="separate"/>
              <w:fldChar w:fldCharType="end"/>
            </w:r>
          </w:hyperlink>
        </w:p>
        <w:p>
          <w:pPr>
            <w:pStyle w:val="TOC1"/>
            <w:tabs>
              <w:tab w:val="right" w:pos="9071" w:leader="dot"/>
            </w:tabs>
          </w:pPr>
          <w:hyperlink w:history="1" w:anchor="_Toc7">
            <w:r>
              <w:t xml:space="preserve">2 JUSTIFICATIVA E PROBLEMA DE PESQUISA</w:t>
            </w:r>
            <w:r>
              <w:tab/>
            </w:r>
            <w:r>
              <w:fldChar w:fldCharType="begin" w:dirty="true"/>
              <w:instrText xml:space="preserve">PAGEREF _Toc7 \h</w:instrText>
              <w:fldChar w:fldCharType="separate"/>
              <w:fldChar w:fldCharType="end"/>
            </w:r>
          </w:hyperlink>
        </w:p>
        <w:p>
          <w:pPr>
            <w:pStyle w:val="TOC2"/>
            <w:tabs>
              <w:tab w:val="right" w:pos="9071" w:leader="dot"/>
            </w:tabs>
            <w:ind w:left="220"/>
          </w:pPr>
          <w:hyperlink w:history="1" w:anchor="_Toc8">
            <w:r>
              <w:t xml:space="preserve">2.1 O custo de corrigir defeitos em produção</w:t>
            </w:r>
            <w:r>
              <w:tab/>
            </w:r>
            <w:r>
              <w:fldChar w:fldCharType="begin" w:dirty="true"/>
              <w:instrText xml:space="preserve">PAGEREF _Toc8 \h</w:instrText>
              <w:fldChar w:fldCharType="separate"/>
              <w:fldChar w:fldCharType="end"/>
            </w:r>
          </w:hyperlink>
        </w:p>
        <w:p>
          <w:pPr>
            <w:pStyle w:val="TOC2"/>
            <w:tabs>
              <w:tab w:val="right" w:pos="9071" w:leader="dot"/>
            </w:tabs>
            <w:ind w:left="220"/>
          </w:pPr>
          <w:hyperlink w:history="1" w:anchor="_Toc9">
            <w:r>
              <w:t xml:space="preserve">2.2 Estabilidade de entrega de software: dados do setor</w:t>
            </w:r>
            <w:r>
              <w:tab/>
            </w:r>
            <w:r>
              <w:fldChar w:fldCharType="begin" w:dirty="true"/>
              <w:instrText xml:space="preserve">PAGEREF _Toc9 \h</w:instrText>
              <w:fldChar w:fldCharType="separate"/>
              <w:fldChar w:fldCharType="end"/>
            </w:r>
          </w:hyperlink>
        </w:p>
        <w:p>
          <w:pPr>
            <w:pStyle w:val="TOC2"/>
            <w:tabs>
              <w:tab w:val="right" w:pos="9071" w:leader="dot"/>
            </w:tabs>
            <w:ind w:left="220"/>
          </w:pPr>
          <w:hyperlink w:history="1" w:anchor="_Toc10">
            <w:r>
              <w:t xml:space="preserve">2.3 Desgaste da equipe: tempo, dívida técnica e burnout</w:t>
            </w:r>
            <w:r>
              <w:tab/>
            </w:r>
            <w:r>
              <w:fldChar w:fldCharType="begin" w:dirty="true"/>
              <w:instrText xml:space="preserve">PAGEREF _Toc10 \h</w:instrText>
              <w:fldChar w:fldCharType="separate"/>
              <w:fldChar w:fldCharType="end"/>
            </w:r>
          </w:hyperlink>
        </w:p>
        <w:p>
          <w:pPr>
            <w:pStyle w:val="TOC2"/>
            <w:tabs>
              <w:tab w:val="right" w:pos="9071" w:leader="dot"/>
            </w:tabs>
            <w:ind w:left="220"/>
          </w:pPr>
          <w:hyperlink w:history="1" w:anchor="_Toc11">
            <w:r>
              <w:t xml:space="preserve">2.4 Problema e pergunta de pesquisa</w:t>
            </w:r>
            <w:r>
              <w:tab/>
            </w:r>
            <w:r>
              <w:fldChar w:fldCharType="begin" w:dirty="true"/>
              <w:instrText xml:space="preserve">PAGEREF _Toc11 \h</w:instrText>
              <w:fldChar w:fldCharType="separate"/>
              <w:fldChar w:fldCharType="end"/>
            </w:r>
          </w:hyperlink>
        </w:p>
        <w:p>
          <w:pPr>
            <w:pStyle w:val="TOC1"/>
            <w:tabs>
              <w:tab w:val="right" w:pos="9071" w:leader="dot"/>
            </w:tabs>
          </w:pPr>
          <w:hyperlink w:history="1" w:anchor="_Toc12">
            <w:r>
              <w:t xml:space="preserve">3 METODOLOGIA DE PESQUISA</w:t>
            </w:r>
            <w:r>
              <w:tab/>
            </w:r>
            <w:r>
              <w:fldChar w:fldCharType="begin" w:dirty="true"/>
              <w:instrText xml:space="preserve">PAGEREF _Toc12 \h</w:instrText>
              <w:fldChar w:fldCharType="separate"/>
              <w:fldChar w:fldCharType="end"/>
            </w:r>
          </w:hyperlink>
        </w:p>
        <w:p>
          <w:pPr>
            <w:pStyle w:val="TOC2"/>
            <w:tabs>
              <w:tab w:val="right" w:pos="9071" w:leader="dot"/>
            </w:tabs>
            <w:ind w:left="220"/>
          </w:pPr>
          <w:hyperlink w:history="1" w:anchor="_Toc13">
            <w:r>
              <w:t xml:space="preserve">3.1 Abordagem proposta</w:t>
            </w:r>
            <w:r>
              <w:tab/>
            </w:r>
            <w:r>
              <w:fldChar w:fldCharType="begin" w:dirty="true"/>
              <w:instrText xml:space="preserve">PAGEREF _Toc13 \h</w:instrText>
              <w:fldChar w:fldCharType="separate"/>
              <w:fldChar w:fldCharType="end"/>
            </w:r>
          </w:hyperlink>
        </w:p>
        <w:p>
          <w:pPr>
            <w:pStyle w:val="TOC2"/>
            <w:tabs>
              <w:tab w:val="right" w:pos="9071" w:leader="dot"/>
            </w:tabs>
            <w:ind w:left="220"/>
          </w:pPr>
          <w:hyperlink w:history="1" w:anchor="_Toc14">
            <w:r>
              <w:t xml:space="preserve">3.2 Sugestões complementares de validação</w:t>
            </w:r>
            <w:r>
              <w:tab/>
            </w:r>
            <w:r>
              <w:fldChar w:fldCharType="begin" w:dirty="true"/>
              <w:instrText xml:space="preserve">PAGEREF _Toc14 \h</w:instrText>
              <w:fldChar w:fldCharType="separate"/>
              <w:fldChar w:fldCharType="end"/>
            </w:r>
          </w:hyperlink>
        </w:p>
        <w:p>
          <w:pPr>
            <w:pStyle w:val="TOC1"/>
            <w:tabs>
              <w:tab w:val="right" w:pos="9071" w:leader="dot"/>
            </w:tabs>
          </w:pPr>
          <w:hyperlink w:history="1" w:anchor="_Toc15">
            <w:r>
              <w:t xml:space="preserve">4 ARQUITETURA HÍBRIDA DE VERIFICAÇÃO: MOTOR DETERMINÍSTICO E AGENTES DE SIMULAÇÃO DE FALHAS</w:t>
            </w:r>
            <w:r>
              <w:tab/>
            </w:r>
            <w:r>
              <w:fldChar w:fldCharType="begin" w:dirty="true"/>
              <w:instrText xml:space="preserve">PAGEREF _Toc15 \h</w:instrText>
              <w:fldChar w:fldCharType="separate"/>
              <w:fldChar w:fldCharType="end"/>
            </w:r>
          </w:hyperlink>
        </w:p>
        <w:p>
          <w:pPr>
            <w:pStyle w:val="TOC2"/>
            <w:tabs>
              <w:tab w:val="right" w:pos="9071" w:leader="dot"/>
            </w:tabs>
            <w:ind w:left="220"/>
          </w:pPr>
          <w:hyperlink w:history="1" w:anchor="_Toc16">
            <w:r>
              <w:t xml:space="preserve">4.1 Motivação: o que a análise estática não cobre</w:t>
            </w:r>
            <w:r>
              <w:tab/>
            </w:r>
            <w:r>
              <w:fldChar w:fldCharType="begin" w:dirty="true"/>
              <w:instrText xml:space="preserve">PAGEREF _Toc16 \h</w:instrText>
              <w:fldChar w:fldCharType="separate"/>
              <w:fldChar w:fldCharType="end"/>
            </w:r>
          </w:hyperlink>
        </w:p>
        <w:p>
          <w:pPr>
            <w:pStyle w:val="TOC2"/>
            <w:tabs>
              <w:tab w:val="right" w:pos="9071" w:leader="dot"/>
            </w:tabs>
            <w:ind w:left="220"/>
          </w:pPr>
          <w:hyperlink w:history="1" w:anchor="_Toc17">
            <w:r>
              <w:t xml:space="preserve">4.2 Motor determinístico: extração de grafos</w:t>
            </w:r>
            <w:r>
              <w:tab/>
            </w:r>
            <w:r>
              <w:fldChar w:fldCharType="begin" w:dirty="true"/>
              <w:instrText xml:space="preserve">PAGEREF _Toc17 \h</w:instrText>
              <w:fldChar w:fldCharType="separate"/>
              <w:fldChar w:fldCharType="end"/>
            </w:r>
          </w:hyperlink>
        </w:p>
        <w:p>
          <w:pPr>
            <w:pStyle w:val="TOC2"/>
            <w:tabs>
              <w:tab w:val="right" w:pos="9071" w:leader="dot"/>
            </w:tabs>
            <w:ind w:left="220"/>
          </w:pPr>
          <w:hyperlink w:history="1" w:anchor="_Toc18">
            <w:r>
              <w:t xml:space="preserve">4.3 Camada de agentes: simulação de caos dirigida por grafos</w:t>
            </w:r>
            <w:r>
              <w:tab/>
            </w:r>
            <w:r>
              <w:fldChar w:fldCharType="begin" w:dirty="true"/>
              <w:instrText xml:space="preserve">PAGEREF _Toc18 \h</w:instrText>
              <w:fldChar w:fldCharType="separate"/>
              <w:fldChar w:fldCharType="end"/>
            </w:r>
          </w:hyperlink>
        </w:p>
        <w:p>
          <w:pPr>
            <w:pStyle w:val="TOC2"/>
            <w:tabs>
              <w:tab w:val="right" w:pos="9071" w:leader="dot"/>
            </w:tabs>
            <w:ind w:left="220"/>
          </w:pPr>
          <w:hyperlink w:history="1" w:anchor="_Toc19">
            <w:r>
              <w:t xml:space="preserve">4.4 Pipeline completo</w:t>
            </w:r>
            <w:r>
              <w:tab/>
            </w:r>
            <w:r>
              <w:fldChar w:fldCharType="begin" w:dirty="true"/>
              <w:instrText xml:space="preserve">PAGEREF _Toc19 \h</w:instrText>
              <w:fldChar w:fldCharType="separate"/>
              <w:fldChar w:fldCharType="end"/>
            </w:r>
          </w:hyperlink>
        </w:p>
        <w:p>
          <w:pPr>
            <w:pStyle w:val="TOC2"/>
            <w:tabs>
              <w:tab w:val="right" w:pos="9071" w:leader="dot"/>
            </w:tabs>
            <w:ind w:left="220"/>
          </w:pPr>
          <w:hyperlink w:history="1" w:anchor="_Toc20">
            <w:r>
              <w:t xml:space="preserve">4.5 Nota sobre custo de tokens</w:t>
            </w:r>
            <w:r>
              <w:tab/>
            </w:r>
            <w:r>
              <w:fldChar w:fldCharType="begin" w:dirty="true"/>
              <w:instrText xml:space="preserve">PAGEREF _Toc20 \h</w:instrText>
              <w:fldChar w:fldCharType="separate"/>
              <w:fldChar w:fldCharType="end"/>
            </w:r>
          </w:hyperlink>
        </w:p>
        <w:p>
          <w:pPr>
            <w:pStyle w:val="TOC1"/>
            <w:tabs>
              <w:tab w:val="right" w:pos="9071" w:leader="dot"/>
            </w:tabs>
          </w:pPr>
          <w:hyperlink w:history="1" w:anchor="_Toc21">
            <w:r>
              <w:t xml:space="preserve">5 PLANO DE AVALIAÇÃO E EXPERIMENTAÇÃO</w:t>
            </w:r>
            <w:r>
              <w:tab/>
            </w:r>
            <w:r>
              <w:fldChar w:fldCharType="begin" w:dirty="true"/>
              <w:instrText xml:space="preserve">PAGEREF _Toc21 \h</w:instrText>
              <w:fldChar w:fldCharType="separate"/>
              <w:fldChar w:fldCharType="end"/>
            </w:r>
          </w:hyperlink>
        </w:p>
        <w:p>
          <w:pPr>
            <w:pStyle w:val="TOC2"/>
            <w:tabs>
              <w:tab w:val="right" w:pos="9071" w:leader="dot"/>
            </w:tabs>
            <w:ind w:left="220"/>
          </w:pPr>
          <w:hyperlink w:history="1" w:anchor="_Toc22">
            <w:r>
              <w:t xml:space="preserve">5.1 Sistema de feedback embutido na IA</w:t>
            </w:r>
            <w:r>
              <w:tab/>
            </w:r>
            <w:r>
              <w:fldChar w:fldCharType="begin" w:dirty="true"/>
              <w:instrText xml:space="preserve">PAGEREF _Toc22 \h</w:instrText>
              <w:fldChar w:fldCharType="separate"/>
              <w:fldChar w:fldCharType="end"/>
            </w:r>
          </w:hyperlink>
        </w:p>
        <w:p>
          <w:pPr>
            <w:pStyle w:val="TOC2"/>
            <w:tabs>
              <w:tab w:val="right" w:pos="9071" w:leader="dot"/>
            </w:tabs>
            <w:ind w:left="220"/>
          </w:pPr>
          <w:hyperlink w:history="1" w:anchor="_Toc23">
            <w:r>
              <w:t xml:space="preserve">5.2 Sinais implícitos de avaliação</w:t>
            </w:r>
            <w:r>
              <w:tab/>
            </w:r>
            <w:r>
              <w:fldChar w:fldCharType="begin" w:dirty="true"/>
              <w:instrText xml:space="preserve">PAGEREF _Toc23 \h</w:instrText>
              <w:fldChar w:fldCharType="separate"/>
              <w:fldChar w:fldCharType="end"/>
            </w:r>
          </w:hyperlink>
        </w:p>
        <w:p>
          <w:pPr>
            <w:pStyle w:val="TOC2"/>
            <w:tabs>
              <w:tab w:val="right" w:pos="9071" w:leader="dot"/>
            </w:tabs>
            <w:ind w:left="220"/>
          </w:pPr>
          <w:hyperlink w:history="1" w:anchor="_Toc24">
            <w:r>
              <w:t xml:space="preserve">5.3 Métricas de sucesso propostas</w:t>
            </w:r>
            <w:r>
              <w:tab/>
            </w:r>
            <w:r>
              <w:fldChar w:fldCharType="begin" w:dirty="true"/>
              <w:instrText xml:space="preserve">PAGEREF _Toc24 \h</w:instrText>
              <w:fldChar w:fldCharType="separate"/>
              <w:fldChar w:fldCharType="end"/>
            </w:r>
          </w:hyperlink>
        </w:p>
        <w:p>
          <w:pPr>
            <w:pStyle w:val="TOC1"/>
            <w:tabs>
              <w:tab w:val="right" w:pos="9071" w:leader="dot"/>
            </w:tabs>
          </w:pPr>
          <w:hyperlink w:history="1" w:anchor="_Toc25">
            <w:r>
              <w:t xml:space="preserve">6 MODELO DE NEGÓCIO E SUSTENTABILIDADE DE CUSTOS</w:t>
            </w:r>
            <w:r>
              <w:tab/>
            </w:r>
            <w:r>
              <w:fldChar w:fldCharType="begin" w:dirty="true"/>
              <w:instrText xml:space="preserve">PAGEREF _Toc25 \h</w:instrText>
              <w:fldChar w:fldCharType="separate"/>
              <w:fldChar w:fldCharType="end"/>
            </w:r>
          </w:hyperlink>
        </w:p>
        <w:p>
          <w:pPr>
            <w:pStyle w:val="TOC2"/>
            <w:tabs>
              <w:tab w:val="right" w:pos="9071" w:leader="dot"/>
            </w:tabs>
            <w:ind w:left="220"/>
          </w:pPr>
          <w:hyperlink w:history="1" w:anchor="_Toc26">
            <w:r>
              <w:t xml:space="preserve">6.1 Decisão de arquitetura: IA sob o modelo BYOK (Bring Your Own Key)</w:t>
            </w:r>
            <w:r>
              <w:tab/>
            </w:r>
            <w:r>
              <w:fldChar w:fldCharType="begin" w:dirty="true"/>
              <w:instrText xml:space="preserve">PAGEREF _Toc26 \h</w:instrText>
              <w:fldChar w:fldCharType="separate"/>
              <w:fldChar w:fldCharType="end"/>
            </w:r>
          </w:hyperlink>
        </w:p>
        <w:p>
          <w:pPr>
            <w:pStyle w:val="TOC2"/>
            <w:tabs>
              <w:tab w:val="right" w:pos="9071" w:leader="dot"/>
            </w:tabs>
            <w:ind w:left="220"/>
          </w:pPr>
          <w:hyperlink w:history="1" w:anchor="_Toc27">
            <w:r>
              <w:t xml:space="preserve">6.2 Comparativo com o mercado</w:t>
            </w:r>
            <w:r>
              <w:tab/>
            </w:r>
            <w:r>
              <w:fldChar w:fldCharType="begin" w:dirty="true"/>
              <w:instrText xml:space="preserve">PAGEREF _Toc27 \h</w:instrText>
              <w:fldChar w:fldCharType="separate"/>
              <w:fldChar w:fldCharType="end"/>
            </w:r>
          </w:hyperlink>
        </w:p>
        <w:p>
          <w:pPr>
            <w:pStyle w:val="TOC2"/>
            <w:tabs>
              <w:tab w:val="right" w:pos="9071" w:leader="dot"/>
            </w:tabs>
            <w:ind w:left="220"/>
          </w:pPr>
          <w:hyperlink w:history="1" w:anchor="_Toc28">
            <w:r>
              <w:t xml:space="preserve">6.3 Precificação proposta</w:t>
            </w:r>
            <w:r>
              <w:tab/>
            </w:r>
            <w:r>
              <w:fldChar w:fldCharType="begin" w:dirty="true"/>
              <w:instrText xml:space="preserve">PAGEREF _Toc28 \h</w:instrText>
              <w:fldChar w:fldCharType="separate"/>
              <w:fldChar w:fldCharType="end"/>
            </w:r>
          </w:hyperlink>
        </w:p>
        <w:p>
          <w:pPr>
            <w:pStyle w:val="TOC2"/>
            <w:tabs>
              <w:tab w:val="right" w:pos="9071" w:leader="dot"/>
            </w:tabs>
            <w:ind w:left="220"/>
          </w:pPr>
          <w:hyperlink w:history="1" w:anchor="_Toc29">
            <w:r>
              <w:t xml:space="preserve">6.4 Política de continuidade de serviço</w:t>
            </w:r>
            <w:r>
              <w:tab/>
            </w:r>
            <w:r>
              <w:fldChar w:fldCharType="begin" w:dirty="true"/>
              <w:instrText xml:space="preserve">PAGEREF _Toc29 \h</w:instrText>
              <w:fldChar w:fldCharType="separate"/>
              <w:fldChar w:fldCharType="end"/>
            </w:r>
          </w:hyperlink>
        </w:p>
        <w:p>
          <w:pPr>
            <w:pStyle w:val="TOC1"/>
            <w:tabs>
              <w:tab w:val="right" w:pos="9071" w:leader="dot"/>
            </w:tabs>
          </w:pPr>
          <w:hyperlink w:history="1" w:anchor="_Toc30">
            <w:r>
              <w:t xml:space="preserve">7 VISÃO DE EVOLUÇÃO E TRABALHOS FUTUROS</w:t>
            </w:r>
            <w:r>
              <w:tab/>
            </w:r>
            <w:r>
              <w:fldChar w:fldCharType="begin" w:dirty="true"/>
              <w:instrText xml:space="preserve">PAGEREF _Toc30 \h</w:instrText>
              <w:fldChar w:fldCharType="separate"/>
              <w:fldChar w:fldCharType="end"/>
            </w:r>
          </w:hyperlink>
        </w:p>
        <w:p>
          <w:pPr>
            <w:pStyle w:val="TOC2"/>
            <w:tabs>
              <w:tab w:val="right" w:pos="9071" w:leader="dot"/>
            </w:tabs>
            <w:ind w:left="220"/>
          </w:pPr>
          <w:hyperlink w:history="1" w:anchor="_Toc31">
            <w:r>
              <w:t xml:space="preserve">7.1 Evolução planejada do produto</w:t>
            </w:r>
            <w:r>
              <w:tab/>
            </w:r>
            <w:r>
              <w:fldChar w:fldCharType="begin" w:dirty="true"/>
              <w:instrText xml:space="preserve">PAGEREF _Toc31 \h</w:instrText>
              <w:fldChar w:fldCharType="separate"/>
              <w:fldChar w:fldCharType="end"/>
            </w:r>
          </w:hyperlink>
        </w:p>
        <w:p>
          <w:pPr>
            <w:pStyle w:val="TOC2"/>
            <w:tabs>
              <w:tab w:val="right" w:pos="9071" w:leader="dot"/>
            </w:tabs>
            <w:ind w:left="220"/>
          </w:pPr>
          <w:hyperlink w:history="1" w:anchor="_Toc32">
            <w:r>
              <w:t xml:space="preserve">7.2 Visão de longo prazo</w:t>
            </w:r>
            <w:r>
              <w:tab/>
            </w:r>
            <w:r>
              <w:fldChar w:fldCharType="begin" w:dirty="true"/>
              <w:instrText xml:space="preserve">PAGEREF _Toc32 \h</w:instrText>
              <w:fldChar w:fldCharType="separate"/>
              <w:fldChar w:fldCharType="end"/>
            </w:r>
          </w:hyperlink>
        </w:p>
        <w:p>
          <w:pPr>
            <w:pStyle w:val="TOC1"/>
            <w:tabs>
              <w:tab w:val="right" w:pos="9071" w:leader="dot"/>
            </w:tabs>
          </w:pPr>
          <w:hyperlink w:history="1" w:anchor="_Toc33">
            <w:r>
              <w:t xml:space="preserve">REFERÊNCIAS</w:t>
            </w:r>
            <w:r>
              <w:tab/>
            </w:r>
            <w:r>
              <w:fldChar w:fldCharType="begin" w:dirty="true"/>
              <w:instrText xml:space="preserve">PAGEREF _Toc33 \h</w:instrText>
              <w:fldChar w:fldCharType="separate"/>
              <w:fldChar w:fldCharType="end"/>
            </w:r>
          </w:hyperlink>
        </w:p>
        <w:p>
          <w:r>
            <w:fldChar w:fldCharType="end"/>
          </w:r>
        </w:p>
      </w:sdtContent>
    </w:sdt>
    <w:p>
      <w:r>
        <w:br w:type="pag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shd w:fill="F2F2F2" w:val="clear"/>
            <w:tcMar>
              <w:top w:type="dxa" w:w="180"/>
              <w:left w:type="dxa" w:w="220"/>
              <w:bottom w:type="dxa" w:w="180"/>
              <w:right w:type="dxa" w:w="220"/>
            </w:tcMar>
          </w:tcPr>
          <w:p>
            <w:pPr>
              <w:spacing w:after="100"/>
            </w:pPr>
            <w:r>
              <w:rPr>
                <w:rFonts w:ascii="Times New Roman" w:cs="Times New Roman" w:eastAsia="Times New Roman" w:hAnsi="Times New Roman"/>
                <w:b/>
                <w:bCs/>
                <w:sz w:val="22"/>
                <w:szCs w:val="22"/>
              </w:rPr>
              <w:t xml:space="preserve">Nota sobre as fontes utilizadas</w:t>
            </w:r>
          </w:p>
          <w:p>
            <w:pPr>
              <w:jc w:val="both"/>
            </w:pPr>
            <w:r>
              <w:rPr>
                <w:rFonts w:ascii="Times New Roman" w:cs="Times New Roman" w:eastAsia="Times New Roman" w:hAnsi="Times New Roman"/>
                <w:i/>
                <w:iCs/>
                <w:sz w:val="21"/>
                <w:szCs w:val="21"/>
              </w:rPr>
              <w:t xml:space="preserve">Este documento reúne, para a etapa de pré-banca, uma revisão bibliográfica inicial, a justificativa, a metodologia de pesquisa, o plano de avaliação, o modelo de negócio e a visão de evolução do projeto. Parte das fontes citadas são relatórios de mercado e reportagens especializadas (ex.: Stripe, DORA/Google Cloud, CISQ, levantamentos de burnout, comparativos de precificação de ferramentas concorrentes) — comuns para fundamentar a relevância prática de um problema e calibrar decisões de produto, mas que não substituem artigos revisados por pares. Onde já foi possível, artigos acadêmicos foram priorizados (ex.: Bohner e Arnold; Göçmen, Cezayir e Tüzün; Yamaguchi et al.). Recomenda-se que, na versão final do TCC, cada fonte de mercado seja revisada e, quando possível, complementada ou substituída por literatura acadêmica equivalente, especialmente nas seções que a banca tende a examinar com mais rigor.</w:t>
            </w:r>
          </w:p>
        </w:tc>
      </w:tr>
    </w:tbl>
    <w:p>
      <w:pPr>
        <w:spacing w:after="200"/>
      </w:pPr>
    </w:p>
    <w:p>
      <w:pPr>
        <w:pStyle w:val="Heading1"/>
        <w:spacing w:after="240" w:before="480" w:line="360"/>
        <w:jc w:val="left"/>
      </w:pPr>
      <w:bookmarkStart w:name="_Toc2" w:id="2"/>
      <w:r>
        <w:rPr>
          <w:rFonts w:ascii="Times New Roman" w:cs="Times New Roman" w:eastAsia="Times New Roman" w:hAnsi="Times New Roman"/>
          <w:b/>
          <w:bCs/>
          <w:sz w:val="24"/>
          <w:szCs w:val="24"/>
        </w:rPr>
        <w:t xml:space="preserve">1 REVISÃO BIBLIOGRÁFICA E ESTADO DA ARTE</w:t>
      </w:r>
      <w:bookmarkEnd w:id="2"/>
    </w:p>
    <w:p>
      <w:pPr>
        <w:spacing w:after="0" w:line="360" w:lineRule="auto"/>
        <w:ind w:firstLine="709"/>
        <w:jc w:val="both"/>
      </w:pPr>
      <w:r>
        <w:rPr>
          <w:rFonts w:ascii="Times New Roman" w:cs="Times New Roman" w:eastAsia="Times New Roman" w:hAnsi="Times New Roman"/>
          <w:sz w:val="24"/>
          <w:szCs w:val="24"/>
        </w:rPr>
        <w:t xml:space="preserve">Esta seção situa o projeto em relação a duas frentes: (i) o mercado de ferramentas de análise de código assistida por IA, que já conta com produtos maduros e financiados; e (ii) a literatura acadêmica sobre análise de impacto de mudanças (change impact analysis) e sobre o uso de modelos de linguagem de grande porte (LLMs) em revisão de código. O objetivo é evidenciar tanto o que já existe quanto a lacuna que a plataforma proposta pretende preencher.</w:t>
      </w:r>
    </w:p>
    <w:p>
      <w:pPr>
        <w:pStyle w:val="Heading2"/>
        <w:spacing w:after="200" w:before="320" w:line="360"/>
        <w:jc w:val="left"/>
      </w:pPr>
      <w:bookmarkStart w:name="_Toc3" w:id="3"/>
      <w:r>
        <w:rPr>
          <w:rFonts w:ascii="Times New Roman" w:cs="Times New Roman" w:eastAsia="Times New Roman" w:hAnsi="Times New Roman"/>
          <w:b/>
          <w:bCs/>
          <w:sz w:val="24"/>
          <w:szCs w:val="24"/>
        </w:rPr>
        <w:t xml:space="preserve">1.1 Ferramentas de mercado: o que já existe</w:t>
      </w:r>
      <w:bookmarkEnd w:id="3"/>
    </w:p>
    <w:p>
      <w:pPr>
        <w:spacing w:after="0" w:line="360" w:lineRule="auto"/>
        <w:ind w:firstLine="709"/>
        <w:jc w:val="both"/>
      </w:pPr>
      <w:r>
        <w:rPr>
          <w:rFonts w:ascii="Times New Roman" w:cs="Times New Roman" w:eastAsia="Times New Roman" w:hAnsi="Times New Roman"/>
          <w:sz w:val="24"/>
          <w:szCs w:val="24"/>
        </w:rPr>
        <w:t xml:space="preserve">O uso de IA para revisão de código deixou de ser experimental: um levantamento da Zylos, de janeiro de 2026, estima que 84% dos desenvolvedores já utilizam revisão de código assistida por IA, com previsão de adoção corporativa de 85% até o final de 2026 (ZYLOS, 2026 apud TECH INSIDER, 2026). Entre as ferramentas mais citadas em comparativos de 2026 estão o GitHub Copilot Code Review, o CodeRabbit, o Greptile, o Qodo (antigo CodiumAI/PR-Agent), o DeepSource, o SonarQube/SonarCloud, o Amazon Q Developer, o Cursor Bugbot e o Codacy (MORPHLLM, 2026; STORK.AI, 2026; LEVELOP, 2026; GETOPTIMAL, 2026).</w:t>
      </w:r>
    </w:p>
    <w:p>
      <w:pPr>
        <w:spacing w:after="0" w:line="360" w:lineRule="auto"/>
        <w:ind w:firstLine="709"/>
        <w:jc w:val="both"/>
      </w:pPr>
      <w:r>
        <w:rPr>
          <w:rFonts w:ascii="Times New Roman" w:cs="Times New Roman" w:eastAsia="Times New Roman" w:hAnsi="Times New Roman"/>
          <w:sz w:val="24"/>
          <w:szCs w:val="24"/>
        </w:rPr>
        <w:t xml:space="preserve">Um padrão se repete nesses comparativos: cada ferramenta otimiza uma dimensão específica — o CodeRabbit é citado pela facilidade de adoção e baixo ruído; o Greptile, pela indexação de todo o repositório para achar bugs entre arquivos; o Qodo, por combinar revisão com geração automática de testes; o DeepSource, pela profundidade em análise estática de segurança (STORK.AI, 2026; LEVELOP, 2026). Nenhuma delas, no entanto, é descrita como capaz de ingerir um documento de regras de negócio da empresa e usá-lo como critério de validação do código, nem de atuar como um gate condicional específico para cada ambiente de destino (Dev, Homologação, Produção) — as duas frentes que diferenciam a plataforma proposta neste trabalho.</w:t>
      </w:r>
    </w:p>
    <w:p>
      <w:pPr>
        <w:spacing w:after="0" w:line="360" w:lineRule="auto"/>
        <w:ind w:firstLine="709"/>
        <w:jc w:val="both"/>
      </w:pPr>
      <w:r>
        <w:rPr>
          <w:rFonts w:ascii="Times New Roman" w:cs="Times New Roman" w:eastAsia="Times New Roman" w:hAnsi="Times New Roman"/>
          <w:sz w:val="24"/>
          <w:szCs w:val="24"/>
        </w:rPr>
        <w:t xml:space="preserve">O quadro a seguir resume o comparativo: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Ferramenta</w:t>
            </w:r>
          </w:p>
        </w:tc>
        <w:tc>
          <w:tcPr>
            <w:tcW w:type="dxa" w:w="225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Foco principal</w:t>
            </w:r>
          </w:p>
        </w:tc>
        <w:tc>
          <w:tcPr>
            <w:tcW w:type="dxa" w:w="225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Regras de negócio da empresa</w:t>
            </w:r>
          </w:p>
        </w:tc>
        <w:tc>
          <w:tcPr>
            <w:tcW w:type="dxa" w:w="225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Gate por ambiente (Dev/HML/Prod)</w:t>
            </w:r>
          </w:p>
        </w:tc>
      </w:tr>
      <w:tr>
        <w:tc>
          <w:tcPr>
            <w:tcW w:type="dxa" w:w="225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GitHub Copilot Code Review</w:t>
            </w:r>
          </w:p>
        </w:tc>
        <w:tc>
          <w:tcPr>
            <w:tcW w:type="dxa" w:w="225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Revisão integrada ao ecossistema GitHub</w:t>
            </w:r>
          </w:p>
        </w:tc>
        <w:tc>
          <w:tcPr>
            <w:tcW w:type="dxa" w:w="225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Não</w:t>
            </w:r>
          </w:p>
        </w:tc>
        <w:tc>
          <w:tcPr>
            <w:tcW w:type="dxa" w:w="225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Não</w:t>
            </w:r>
          </w:p>
        </w:tc>
      </w:tr>
      <w:tr>
        <w:tc>
          <w:tcPr>
            <w:tcW w:type="dxa" w:w="225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CodeRabbit</w:t>
            </w:r>
          </w:p>
        </w:tc>
        <w:tc>
          <w:tcPr>
            <w:tcW w:type="dxa" w:w="225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Baixo ruído, adoção rápida, 40+ linters</w:t>
            </w:r>
          </w:p>
        </w:tc>
        <w:tc>
          <w:tcPr>
            <w:tcW w:type="dxa" w:w="225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Não</w:t>
            </w:r>
          </w:p>
        </w:tc>
        <w:tc>
          <w:tcPr>
            <w:tcW w:type="dxa" w:w="225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Não</w:t>
            </w:r>
          </w:p>
        </w:tc>
      </w:tr>
      <w:tr>
        <w:tc>
          <w:tcPr>
            <w:tcW w:type="dxa" w:w="225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Greptile</w:t>
            </w:r>
          </w:p>
        </w:tc>
        <w:tc>
          <w:tcPr>
            <w:tcW w:type="dxa" w:w="225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Indexação de todo o repositório</w:t>
            </w:r>
          </w:p>
        </w:tc>
        <w:tc>
          <w:tcPr>
            <w:tcW w:type="dxa" w:w="225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Não</w:t>
            </w:r>
          </w:p>
        </w:tc>
        <w:tc>
          <w:tcPr>
            <w:tcW w:type="dxa" w:w="225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Não</w:t>
            </w:r>
          </w:p>
        </w:tc>
      </w:tr>
      <w:tr>
        <w:tc>
          <w:tcPr>
            <w:tcW w:type="dxa" w:w="225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Qodo (CodiumAI)</w:t>
            </w:r>
          </w:p>
        </w:tc>
        <w:tc>
          <w:tcPr>
            <w:tcW w:type="dxa" w:w="225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Revisão + geração de testes</w:t>
            </w:r>
          </w:p>
        </w:tc>
        <w:tc>
          <w:tcPr>
            <w:tcW w:type="dxa" w:w="225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Não</w:t>
            </w:r>
          </w:p>
        </w:tc>
        <w:tc>
          <w:tcPr>
            <w:tcW w:type="dxa" w:w="225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Não</w:t>
            </w:r>
          </w:p>
        </w:tc>
      </w:tr>
      <w:tr>
        <w:tc>
          <w:tcPr>
            <w:tcW w:type="dxa" w:w="225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DeepSource</w:t>
            </w:r>
          </w:p>
        </w:tc>
        <w:tc>
          <w:tcPr>
            <w:tcW w:type="dxa" w:w="225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Análise estática de segurança</w:t>
            </w:r>
          </w:p>
        </w:tc>
        <w:tc>
          <w:tcPr>
            <w:tcW w:type="dxa" w:w="225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Não</w:t>
            </w:r>
          </w:p>
        </w:tc>
        <w:tc>
          <w:tcPr>
            <w:tcW w:type="dxa" w:w="225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Não</w:t>
            </w:r>
          </w:p>
        </w:tc>
      </w:tr>
      <w:tr>
        <w:tc>
          <w:tcPr>
            <w:tcW w:type="dxa" w:w="225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SonarQube/SonarCloud</w:t>
            </w:r>
          </w:p>
        </w:tc>
        <w:tc>
          <w:tcPr>
            <w:tcW w:type="dxa" w:w="225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Qualidade, cobertura, code smells</w:t>
            </w:r>
          </w:p>
        </w:tc>
        <w:tc>
          <w:tcPr>
            <w:tcW w:type="dxa" w:w="225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Não</w:t>
            </w:r>
          </w:p>
        </w:tc>
        <w:tc>
          <w:tcPr>
            <w:tcW w:type="dxa" w:w="225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Parcial (quality gate genérico)</w:t>
            </w:r>
          </w:p>
        </w:tc>
      </w:tr>
    </w:tbl>
    <w:p>
      <w:pPr>
        <w:spacing w:after="0" w:line="360" w:lineRule="auto"/>
        <w:ind w:firstLine="709"/>
        <w:jc w:val="both"/>
      </w:pPr>
      <w:r>
        <w:rPr>
          <w:rFonts w:ascii="Times New Roman" w:cs="Times New Roman" w:eastAsia="Times New Roman" w:hAnsi="Times New Roman"/>
          <w:sz w:val="24"/>
          <w:szCs w:val="24"/>
        </w:rPr>
        <w:t xml:space="preserve">A ausência de ingestão de regras de negócio e de gates diferenciados por ambiente nos produtos hoje disponíveis constitui a lacuna de mercado que fundamenta a proposta de valor deste trabalho (ver seção 1.4).</w:t>
      </w:r>
    </w:p>
    <w:p>
      <w:pPr>
        <w:pStyle w:val="Heading2"/>
        <w:spacing w:after="200" w:before="320" w:line="360"/>
        <w:jc w:val="left"/>
      </w:pPr>
      <w:bookmarkStart w:name="_Toc4" w:id="4"/>
      <w:r>
        <w:rPr>
          <w:rFonts w:ascii="Times New Roman" w:cs="Times New Roman" w:eastAsia="Times New Roman" w:hAnsi="Times New Roman"/>
          <w:b/>
          <w:bCs/>
          <w:sz w:val="24"/>
          <w:szCs w:val="24"/>
        </w:rPr>
        <w:t xml:space="preserve">1.2 Estudos acadêmicos sobre análise de impacto de mudanças</w:t>
      </w:r>
      <w:bookmarkEnd w:id="4"/>
    </w:p>
    <w:p>
      <w:pPr>
        <w:spacing w:after="0" w:line="360" w:lineRule="auto"/>
        <w:ind w:firstLine="709"/>
        <w:jc w:val="both"/>
      </w:pPr>
      <w:r>
        <w:rPr>
          <w:rFonts w:ascii="Times New Roman" w:cs="Times New Roman" w:eastAsia="Times New Roman" w:hAnsi="Times New Roman"/>
          <w:sz w:val="24"/>
          <w:szCs w:val="24"/>
        </w:rPr>
        <w:t xml:space="preserve">A análise de impacto de mudanças (change impact analysis — CIA) é um campo de pesquisa consolidado em engenharia de software, definido por Bohner e Arnold (1996) como o processo de identificar as consequências potenciais de uma mudança ou estimar o que precisa ser modificado para realizá-la. Segundo o histórico reconstruído por Göçmen, Cezayir e Tüzün (2025), a primeira formulação do problema remonta a Haney (1972), que tratou da análise de conexão entre módulos; o conceito de fatiamento de programas (program slicing), introduzido por Weiser (1979), tornou-se uma das técnicas mais utilizadas para determinar dependências entre trechos de código; e o termo "efeito cascata" (ripple effect), cunhado por Yau e Collofello (1980), passou a descrever como uma modificação se propaga por um sistema.</w:t>
      </w:r>
    </w:p>
    <w:p>
      <w:pPr>
        <w:spacing w:after="0" w:line="360" w:lineRule="auto"/>
        <w:ind w:firstLine="709"/>
        <w:jc w:val="both"/>
      </w:pPr>
      <w:r>
        <w:rPr>
          <w:rFonts w:ascii="Times New Roman" w:cs="Times New Roman" w:eastAsia="Times New Roman" w:hAnsi="Times New Roman"/>
          <w:sz w:val="24"/>
          <w:szCs w:val="24"/>
        </w:rPr>
        <w:t xml:space="preserve">Mais relevante para este trabalho é o estudo de Göçmen, Cezayir e Tüzün (2025), publicado na revista Empirical Software Engineering, que propõe uma abordagem de CIA na granularidade de Pull Request, combinando grafos de chamada de função (call graphs) com mineração de histórico do repositório para calcular um risk score por PR. Os autores validaram a abordagem com grupos focais compostos por profissionais de software e com experimentos de viabilidade computacional em três projetos de código aberto (joda-time, OpenPDF e Arduino), obtendo uma avaliação média de 3,66 em 5,0 para o ganho na experiência de revisão de código.</w:t>
      </w:r>
    </w:p>
    <w:p>
      <w:pPr>
        <w:spacing w:after="0" w:line="360" w:lineRule="auto"/>
        <w:ind w:firstLine="709"/>
        <w:jc w:val="both"/>
      </w:pPr>
      <w:r>
        <w:rPr>
          <w:rFonts w:ascii="Times New Roman" w:cs="Times New Roman" w:eastAsia="Times New Roman" w:hAnsi="Times New Roman"/>
          <w:sz w:val="24"/>
          <w:szCs w:val="24"/>
        </w:rPr>
        <w:t xml:space="preserve">Esse estudo tem duas contribuições diretas para o presente trabalho: primeiro, confirma que a combinação de análise estática com cálculo de um score de risco por mudança já foi validada como cientificamente promissora, embora limitada — os próprios participantes do estudo relataram que a ferramenta "não automatiza" a revisão e que "ainda é necessário revisar manualmente" (GÖÇMEN; CEZAYIR; TÜZÜN, 2025). Segundo, a metodologia de validação empregada pelos autores — grupos focais, demonstração da ferramenta e experimentos de viabilidade computacional em projetos reais — é diretamente aproveitável como referência metodológica para a seção 3 deste documento.</w:t>
      </w:r>
    </w:p>
    <w:p>
      <w:pPr>
        <w:spacing w:after="0" w:line="360" w:lineRule="auto"/>
        <w:ind w:firstLine="709"/>
        <w:jc w:val="both"/>
      </w:pPr>
      <w:r>
        <w:rPr>
          <w:rFonts w:ascii="Times New Roman" w:cs="Times New Roman" w:eastAsia="Times New Roman" w:hAnsi="Times New Roman"/>
          <w:sz w:val="24"/>
          <w:szCs w:val="24"/>
        </w:rPr>
        <w:t xml:space="preserve">Uma representação alternativa e complementar à de call graphs é o code property graph (CPG), proposto por Yamaguchi et al. (2014), que combina árvore sintática abstrata, grafo de fluxo de controle e grafo de dependência de dados em uma única estrutura, na qual cada nó carrega atributos (metadados) sobre o elemento de código que representa. Essa representação é a base de ferramentas de análise estática consolidadas, como o Joern, e fundamenta o motor determinístico da arquitetura híbrida descrita na seção 4.</w:t>
      </w:r>
    </w:p>
    <w:p>
      <w:pPr>
        <w:pStyle w:val="Heading2"/>
        <w:spacing w:after="200" w:before="320" w:line="360"/>
        <w:jc w:val="left"/>
      </w:pPr>
      <w:bookmarkStart w:name="_Toc5" w:id="5"/>
      <w:r>
        <w:rPr>
          <w:rFonts w:ascii="Times New Roman" w:cs="Times New Roman" w:eastAsia="Times New Roman" w:hAnsi="Times New Roman"/>
          <w:b/>
          <w:bCs/>
          <w:sz w:val="24"/>
          <w:szCs w:val="24"/>
        </w:rPr>
        <w:t xml:space="preserve">1.3 Estudos acadêmicos sobre uso de LLMs em revisão de código</w:t>
      </w:r>
      <w:bookmarkEnd w:id="5"/>
    </w:p>
    <w:p>
      <w:pPr>
        <w:spacing w:after="0" w:line="360" w:lineRule="auto"/>
        <w:ind w:firstLine="709"/>
        <w:jc w:val="both"/>
      </w:pPr>
      <w:r>
        <w:rPr>
          <w:rFonts w:ascii="Times New Roman" w:cs="Times New Roman" w:eastAsia="Times New Roman" w:hAnsi="Times New Roman"/>
          <w:sz w:val="24"/>
          <w:szCs w:val="24"/>
        </w:rPr>
        <w:t xml:space="preserve">Para além da análise estática tradicional, uma linha de pesquisa mais recente investiga especificamente a eficácia de LLMs na tarefa de revisão de código. Cihan et al. (2025) avaliaram a capacidade de diferentes LLMs de classificar corretamente a correção de um trecho de código e de propor melhorias, encontrando taxas de acerto de classificação de 68,50% para o GPT-4o e 63,89% para o Gemini 2.0 Flash em uma amostra de 492 blocos de código de correção variada — um resultado que evidencia que LLMs têm desempenho relevante, mas está longe de ser infalível nessa tarefa.</w:t>
      </w:r>
    </w:p>
    <w:p>
      <w:pPr>
        <w:spacing w:after="0" w:line="360" w:lineRule="auto"/>
        <w:ind w:firstLine="709"/>
        <w:jc w:val="both"/>
      </w:pPr>
      <w:r>
        <w:rPr>
          <w:rFonts w:ascii="Times New Roman" w:cs="Times New Roman" w:eastAsia="Times New Roman" w:hAnsi="Times New Roman"/>
          <w:sz w:val="24"/>
          <w:szCs w:val="24"/>
        </w:rPr>
        <w:t xml:space="preserve">Collante et al. (2025) investigaram como Pull Requests assistidos por IA generativa afetam a duração e a qualidade do processo de revisão de código, contribuindo para entender não apenas se a IA acerta, mas como sua presença muda o comportamento dos revisores humanos — uma variável relevante para o plano de avaliação deste projeto, já que a plataforma proposta também depende da reação e do comportamento dos desenvolvedores diante das sugestões da IA.</w:t>
      </w:r>
    </w:p>
    <w:p>
      <w:pPr>
        <w:pStyle w:val="Heading2"/>
        <w:spacing w:after="200" w:before="320" w:line="360"/>
        <w:jc w:val="left"/>
      </w:pPr>
      <w:bookmarkStart w:name="_Toc6" w:id="6"/>
      <w:r>
        <w:rPr>
          <w:rFonts w:ascii="Times New Roman" w:cs="Times New Roman" w:eastAsia="Times New Roman" w:hAnsi="Times New Roman"/>
          <w:b/>
          <w:bCs/>
          <w:sz w:val="24"/>
          <w:szCs w:val="24"/>
        </w:rPr>
        <w:t xml:space="preserve">1.4 Lacuna de pesquisa identificada</w:t>
      </w:r>
      <w:bookmarkEnd w:id="6"/>
    </w:p>
    <w:p>
      <w:pPr>
        <w:spacing w:after="0" w:line="360" w:lineRule="auto"/>
        <w:ind w:firstLine="709"/>
        <w:jc w:val="both"/>
      </w:pPr>
      <w:r>
        <w:rPr>
          <w:rFonts w:ascii="Times New Roman" w:cs="Times New Roman" w:eastAsia="Times New Roman" w:hAnsi="Times New Roman"/>
          <w:sz w:val="24"/>
          <w:szCs w:val="24"/>
        </w:rPr>
        <w:t xml:space="preserve">A partir da revisão anterior, é possível posicionar a contribuição pretendida por este trabalho em três frentes que, isoladamente, já têm precedente acadêmico ou de mercado, mas que não foram encontradas combinadas em uma única solução:</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Análise de impacto de mudanças validada academicamente (GÖÇMEN; CEZAYIR; TÜZÜN, 2025), mas sem cruzamento com regras de negócio documentadas da empresa;</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Ferramentas de mercado maduras em revisão assistida por IA (CodeRabbit, Greptile, Qodo, entre outras), mas nenhuma delas atuando como gate condicional específico por ambiente de destino (Dev/HML/Prod);</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Estudos sobre eficácia e comportamento de LLMs em revisão de código (CIHAN et al., 2025; COLLANTE et al., 2025), mas sem investigação, até onde esta revisão alcançou, sobre o uso de LLMs para validar mudanças contra regras de negócio documentadas em linguagem natural.</w:t>
      </w:r>
    </w:p>
    <w:p>
      <w:pPr>
        <w:spacing w:after="0" w:line="360" w:lineRule="auto"/>
        <w:ind w:firstLine="709"/>
        <w:jc w:val="both"/>
      </w:pPr>
      <w:r>
        <w:rPr>
          <w:rFonts w:ascii="Times New Roman" w:cs="Times New Roman" w:eastAsia="Times New Roman" w:hAnsi="Times New Roman"/>
          <w:sz w:val="24"/>
          <w:szCs w:val="24"/>
        </w:rPr>
        <w:t xml:space="preserve">É nessa interseção — análise técnica de impacto, IA e regras de negócio documentadas, aplicadas continuamente ao longo do pipeline de deploy — que este trabalho pretende contribuir.</w:t>
      </w:r>
    </w:p>
    <w:p>
      <w:pPr>
        <w:pStyle w:val="Heading1"/>
        <w:spacing w:after="240" w:before="480" w:line="360"/>
        <w:jc w:val="left"/>
      </w:pPr>
      <w:bookmarkStart w:name="_Toc7" w:id="7"/>
      <w:r>
        <w:rPr>
          <w:rFonts w:ascii="Times New Roman" w:cs="Times New Roman" w:eastAsia="Times New Roman" w:hAnsi="Times New Roman"/>
          <w:b/>
          <w:bCs/>
          <w:sz w:val="24"/>
          <w:szCs w:val="24"/>
        </w:rPr>
        <w:t xml:space="preserve">2 JUSTIFICATIVA E PROBLEMA DE PESQUISA</w:t>
      </w:r>
      <w:bookmarkEnd w:id="7"/>
    </w:p>
    <w:p>
      <w:pPr>
        <w:spacing w:after="0" w:line="360" w:lineRule="auto"/>
        <w:ind w:firstLine="709"/>
        <w:jc w:val="both"/>
      </w:pPr>
      <w:r>
        <w:rPr>
          <w:rFonts w:ascii="Times New Roman" w:cs="Times New Roman" w:eastAsia="Times New Roman" w:hAnsi="Times New Roman"/>
          <w:sz w:val="24"/>
          <w:szCs w:val="24"/>
        </w:rPr>
        <w:t xml:space="preserve">Esta seção apresenta os dados que sustentam a relevância prática do problema: o custo de corrigir defeitos depois que eles chegam à produção, a instabilidade de entrega observada no setor e o desgaste que esse ciclo impõe às equipes de desenvolvimento.</w:t>
      </w:r>
    </w:p>
    <w:p>
      <w:pPr>
        <w:pStyle w:val="Heading2"/>
        <w:spacing w:after="200" w:before="320" w:line="360"/>
        <w:jc w:val="left"/>
      </w:pPr>
      <w:bookmarkStart w:name="_Toc8" w:id="8"/>
      <w:r>
        <w:rPr>
          <w:rFonts w:ascii="Times New Roman" w:cs="Times New Roman" w:eastAsia="Times New Roman" w:hAnsi="Times New Roman"/>
          <w:b/>
          <w:bCs/>
          <w:sz w:val="24"/>
          <w:szCs w:val="24"/>
        </w:rPr>
        <w:t xml:space="preserve">2.1 O custo de corrigir defeitos em produção</w:t>
      </w:r>
      <w:bookmarkEnd w:id="8"/>
    </w:p>
    <w:p>
      <w:pPr>
        <w:spacing w:after="0" w:line="360" w:lineRule="auto"/>
        <w:ind w:firstLine="709"/>
        <w:jc w:val="both"/>
      </w:pPr>
      <w:r>
        <w:rPr>
          <w:rFonts w:ascii="Times New Roman" w:cs="Times New Roman" w:eastAsia="Times New Roman" w:hAnsi="Times New Roman"/>
          <w:sz w:val="24"/>
          <w:szCs w:val="24"/>
        </w:rPr>
        <w:t xml:space="preserve">A ideia de que o custo de corrigir um defeito cresce quanto mais tarde ele é descoberto no ciclo de desenvolvimento é amplamente citada na literatura de engenharia de software sob a forma da chamada "regra de 100" ou "regra 1-10-100": um defeito corrigido na fase de design custaria cerca de 100 vezes menos do que o mesmo defeito corrigido em produção, segundo dados atribuídos ao IBM Systems Sciences Institute (CLOUDQA, 2026; BETTERQA, 2026). É importante registrar, com honestidade acadêmica, que essa cifra é frequentemente citada sem uma publicação primária rastreável e vem sendo questionada quanto à sua validade metodológica em contextos de desenvolvimento ágil com integração contínua, nos quais as fronteiras entre design, desenvolvimento e produção deixam de ser discretas (HALL, 2025). Ainda assim, mesmo sob essa ressalva, praticamente todas as fontes consultadas convergem para a mesma direção qualitativa: corrigir depois é mais caro do que corrigir antes — divergindo apenas quanto à magnitude exata do multiplicador.</w:t>
      </w:r>
    </w:p>
    <w:p>
      <w:pPr>
        <w:spacing w:after="0" w:line="360" w:lineRule="auto"/>
        <w:ind w:firstLine="709"/>
        <w:jc w:val="both"/>
      </w:pPr>
      <w:r>
        <w:rPr>
          <w:rFonts w:ascii="Times New Roman" w:cs="Times New Roman" w:eastAsia="Times New Roman" w:hAnsi="Times New Roman"/>
          <w:sz w:val="24"/>
          <w:szCs w:val="24"/>
        </w:rPr>
        <w:t xml:space="preserve">Dados de custo direto de indisponibilidade reforçam essa relevância prática: segundo a Gartner, uma hora de indisponibilidade crítica em aplicações de nível corporativo custa, em média, mais de US$ 300 mil, podendo superar US$ 1 milhão em alguns casos (GARTNER apud CLOUDQA, 2026). Em escala agregada, a Tricentis estimou que defeitos de software custaram US$ 2,41 trilhões às empresas americanas em um único ano (TRICENTIS, 2023 apud DEV COMMUNITY, 2024).</w:t>
      </w:r>
    </w:p>
    <w:p>
      <w:pPr>
        <w:pStyle w:val="Heading2"/>
        <w:spacing w:after="200" w:before="320" w:line="360"/>
        <w:jc w:val="left"/>
      </w:pPr>
      <w:bookmarkStart w:name="_Toc9" w:id="9"/>
      <w:r>
        <w:rPr>
          <w:rFonts w:ascii="Times New Roman" w:cs="Times New Roman" w:eastAsia="Times New Roman" w:hAnsi="Times New Roman"/>
          <w:b/>
          <w:bCs/>
          <w:sz w:val="24"/>
          <w:szCs w:val="24"/>
        </w:rPr>
        <w:t xml:space="preserve">2.2 Estabilidade de entrega de software: dados do setor</w:t>
      </w:r>
      <w:bookmarkEnd w:id="9"/>
    </w:p>
    <w:p>
      <w:pPr>
        <w:spacing w:after="0" w:line="360" w:lineRule="auto"/>
        <w:ind w:firstLine="709"/>
        <w:jc w:val="both"/>
      </w:pPr>
      <w:r>
        <w:rPr>
          <w:rFonts w:ascii="Times New Roman" w:cs="Times New Roman" w:eastAsia="Times New Roman" w:hAnsi="Times New Roman"/>
          <w:sz w:val="24"/>
          <w:szCs w:val="24"/>
        </w:rPr>
        <w:t xml:space="preserve">A DORA (DevOps Research and Assessment), programa de pesquisa do Google Cloud, mede a estabilidade de entrega de software por meio da Change Failure Rate (CFR) — o percentual de deployments que resultam em falha e exigem intervenção (rollback, hotfix ou incidente). Segundo o benchmark mais recente, apenas os times no top 15% (antigo nível "elite") mantêm uma CFR abaixo de 4%, enquanto times no top 15–30% ficam abaixo de 8% — o que implica que a maioria das organizações opera com uma taxa de falha por deployment substancialmente mais alta (MULTITUDES, 2025).</w:t>
      </w:r>
    </w:p>
    <w:p>
      <w:pPr>
        <w:spacing w:after="0" w:line="360" w:lineRule="auto"/>
        <w:ind w:firstLine="709"/>
        <w:jc w:val="both"/>
      </w:pPr>
      <w:r>
        <w:rPr>
          <w:rFonts w:ascii="Times New Roman" w:cs="Times New Roman" w:eastAsia="Times New Roman" w:hAnsi="Times New Roman"/>
          <w:sz w:val="24"/>
          <w:szCs w:val="24"/>
        </w:rPr>
        <w:t xml:space="preserve">Um achado do relatório DORA 2025 é particularmente relevante para a justificativa deste projeto: a adoção crescente de ferramentas de IA para geração de código está correlacionada ao aumento da instabilidade de entrega de software, mesmo quando essa adoção melhora a produtividade individual — a explicação proposta é que a IA aumenta o volume de código gerado mais rapidamente do que a infraestrutura de revisão e deploy consegue absorver (DORA, 2025 apud GETDX, 2026). Esse achado sustenta diretamente a proposta deste trabalho: se a IA está acelerando a geração de código, uma camada de IA dedicada a analisar o impacto desse código antes do deploy é uma resposta proporcional ao mesmo fenômeno que está causando o problema.</w:t>
      </w:r>
    </w:p>
    <w:p>
      <w:pPr>
        <w:pStyle w:val="Heading2"/>
        <w:spacing w:after="200" w:before="320" w:line="360"/>
        <w:jc w:val="left"/>
      </w:pPr>
      <w:bookmarkStart w:name="_Toc10" w:id="10"/>
      <w:r>
        <w:rPr>
          <w:rFonts w:ascii="Times New Roman" w:cs="Times New Roman" w:eastAsia="Times New Roman" w:hAnsi="Times New Roman"/>
          <w:b/>
          <w:bCs/>
          <w:sz w:val="24"/>
          <w:szCs w:val="24"/>
        </w:rPr>
        <w:t xml:space="preserve">2.3 Desgaste da equipe: tempo, dívida técnica e burnout</w:t>
      </w:r>
      <w:bookmarkEnd w:id="10"/>
    </w:p>
    <w:p>
      <w:pPr>
        <w:spacing w:after="0" w:line="360" w:lineRule="auto"/>
        <w:ind w:firstLine="709"/>
        <w:jc w:val="both"/>
      </w:pPr>
      <w:r>
        <w:rPr>
          <w:rFonts w:ascii="Times New Roman" w:cs="Times New Roman" w:eastAsia="Times New Roman" w:hAnsi="Times New Roman"/>
          <w:sz w:val="24"/>
          <w:szCs w:val="24"/>
        </w:rPr>
        <w:t xml:space="preserve">Segundo o relatório The Developer Coefficient, da Stripe, com mais de 1.000 desenvolvedores e 1.000 executivos C-level entrevistados em cinco países, o desenvolvedor médio gasta 17,3 das 41,1 horas de sua semana de trabalho — cerca de 42% do tempo — lidando com manutenção, dívida técnica e código de baixa qualidade, o que representa uma perda de produtividade estimada em US$ 85 bilhões globalmente (STRIPE, 2018).</w:t>
      </w:r>
    </w:p>
    <w:p>
      <w:pPr>
        <w:spacing w:after="0" w:line="360" w:lineRule="auto"/>
        <w:ind w:firstLine="709"/>
        <w:jc w:val="both"/>
      </w:pPr>
      <w:r>
        <w:rPr>
          <w:rFonts w:ascii="Times New Roman" w:cs="Times New Roman" w:eastAsia="Times New Roman" w:hAnsi="Times New Roman"/>
          <w:sz w:val="24"/>
          <w:szCs w:val="24"/>
        </w:rPr>
        <w:t xml:space="preserve">Esse desgaste tem reflexo direto na experiência dos desenvolvedores: no Stack Overflow Developer Survey de 2024, a dívida técnica foi apontada como a maior fonte de frustração por 62% dos respondentes (STACK OVERFLOW, 2024 apud DEV COMMUNITY, 2025). O relatório State of Engineering Management, da Jellyfish, de 2024, constatou que 65% dos profissionais de engenharia relataram ter sofrido burnout no ano anterior (JELLYFISH, 2024 apud FULL SCALE, 2026), enquanto um estudo da Harness estimou o custo agregado do burnout de desenvolvedores em aproximadamente US$ 300 bilhões por ano, globalmente (HARNESS, 2024 apud ROCKSTAR DEVELOPER UNIVERSITY, 2026).</w:t>
      </w:r>
    </w:p>
    <w:p>
      <w:pPr>
        <w:spacing w:after="0" w:line="360" w:lineRule="auto"/>
        <w:ind w:firstLine="709"/>
        <w:jc w:val="both"/>
      </w:pPr>
      <w:r>
        <w:rPr>
          <w:rFonts w:ascii="Times New Roman" w:cs="Times New Roman" w:eastAsia="Times New Roman" w:hAnsi="Times New Roman"/>
          <w:sz w:val="24"/>
          <w:szCs w:val="24"/>
        </w:rPr>
        <w:t xml:space="preserve">Em conjunto, esses três eixos de dados — custo crescente de correção tardia, instabilidade de entrega agravada pela própria adoção de IA, e desgaste mensurável da equipe — formam a base empírica da justificativa deste projeto: não se trata apenas de um problema técnico de qualidade de código, mas de um problema com custo financeiro, operacional e humano documentado no setor.</w:t>
      </w:r>
    </w:p>
    <w:p>
      <w:pPr>
        <w:pStyle w:val="Heading2"/>
        <w:spacing w:after="200" w:before="320" w:line="360"/>
        <w:jc w:val="left"/>
      </w:pPr>
      <w:bookmarkStart w:name="_Toc11" w:id="11"/>
      <w:r>
        <w:rPr>
          <w:rFonts w:ascii="Times New Roman" w:cs="Times New Roman" w:eastAsia="Times New Roman" w:hAnsi="Times New Roman"/>
          <w:b/>
          <w:bCs/>
          <w:sz w:val="24"/>
          <w:szCs w:val="24"/>
        </w:rPr>
        <w:t xml:space="preserve">2.4 Problema e pergunta de pesquisa</w:t>
      </w:r>
      <w:bookmarkEnd w:id="11"/>
    </w:p>
    <w:p>
      <w:pPr>
        <w:spacing w:after="0" w:line="360" w:lineRule="auto"/>
        <w:ind w:firstLine="709"/>
        <w:jc w:val="both"/>
      </w:pPr>
      <w:r>
        <w:rPr>
          <w:rFonts w:ascii="Times New Roman" w:cs="Times New Roman" w:eastAsia="Times New Roman" w:hAnsi="Times New Roman"/>
          <w:sz w:val="24"/>
          <w:szCs w:val="24"/>
        </w:rPr>
        <w:t xml:space="preserve">Problema de pesquisa: o processo tradicional de revisão de código — humano, pontual e limitado ao momento do Pull Request — não acompanha a velocidade com que o código é gerado e alterado, especialmente com o uso crescente de IA generativa, resultando em defeitos que só são descobertos após o deploy, quando o custo de correção é mais alto e o impacto operacional é mais severo.</w:t>
      </w:r>
    </w:p>
    <w:p>
      <w:pPr>
        <w:spacing w:after="200" w:before="120" w:line="240" w:lineRule="auto"/>
        <w:ind w:left="2268"/>
        <w:jc w:val="both"/>
      </w:pPr>
      <w:r>
        <w:rPr>
          <w:rFonts w:ascii="Times New Roman" w:cs="Times New Roman" w:eastAsia="Times New Roman" w:hAnsi="Times New Roman"/>
          <w:sz w:val="20"/>
          <w:szCs w:val="20"/>
        </w:rPr>
        <w:t xml:space="preserve">Pergunta de pesquisa: em que medida uma plataforma de análise contínua de código — que combina ferramentas de análise estática, inteligência artificial e regras de negócio documentadas — é capaz de reduzir a frequência de falhas identificadas somente após o deploy e o tempo necessário para corrigi-las, em comparação com o processo de revisão manual tradicional?</w:t>
      </w:r>
    </w:p>
    <w:p>
      <w:pPr>
        <w:pStyle w:val="Heading1"/>
        <w:spacing w:after="240" w:before="480" w:line="360"/>
        <w:jc w:val="left"/>
      </w:pPr>
      <w:bookmarkStart w:name="_Toc12" w:id="12"/>
      <w:r>
        <w:rPr>
          <w:rFonts w:ascii="Times New Roman" w:cs="Times New Roman" w:eastAsia="Times New Roman" w:hAnsi="Times New Roman"/>
          <w:b/>
          <w:bCs/>
          <w:sz w:val="24"/>
          <w:szCs w:val="24"/>
        </w:rPr>
        <w:t xml:space="preserve">3 METODOLOGIA DE PESQUISA</w:t>
      </w:r>
      <w:bookmarkEnd w:id="12"/>
    </w:p>
    <w:p>
      <w:pPr>
        <w:spacing w:after="0" w:line="360" w:lineRule="auto"/>
        <w:ind w:firstLine="709"/>
        <w:jc w:val="both"/>
      </w:pPr>
      <w:r>
        <w:rPr>
          <w:rFonts w:ascii="Times New Roman" w:cs="Times New Roman" w:eastAsia="Times New Roman" w:hAnsi="Times New Roman"/>
          <w:sz w:val="24"/>
          <w:szCs w:val="24"/>
        </w:rPr>
        <w:t xml:space="preserve">Do ponto de vista metodológico, este trabalho se classifica como uma pesquisa aplicada, de natureza exploratória, com abordagem mista (qualitativa e quantitativa), operacionalizada por meio de desenvolvimento tecnológico e estudo de casos múltiplos — classificação próxima à adotada por Göçmen, Cezayir e Tüzün (2025), que combinaram experimentos de viabilidade computacional com grupos focais qualitativos para validar uma proposta de natureza semelhante.</w:t>
      </w:r>
    </w:p>
    <w:p>
      <w:pPr>
        <w:pStyle w:val="Heading2"/>
        <w:spacing w:after="200" w:before="320" w:line="360"/>
        <w:jc w:val="left"/>
      </w:pPr>
      <w:bookmarkStart w:name="_Toc13" w:id="13"/>
      <w:r>
        <w:rPr>
          <w:rFonts w:ascii="Times New Roman" w:cs="Times New Roman" w:eastAsia="Times New Roman" w:hAnsi="Times New Roman"/>
          <w:b/>
          <w:bCs/>
          <w:sz w:val="24"/>
          <w:szCs w:val="24"/>
        </w:rPr>
        <w:t xml:space="preserve">3.1 Abordagem proposta</w:t>
      </w:r>
      <w:bookmarkEnd w:id="13"/>
    </w:p>
    <w:p>
      <w:pPr>
        <w:spacing w:after="0" w:line="360" w:lineRule="auto"/>
        <w:ind w:firstLine="709"/>
        <w:jc w:val="both"/>
      </w:pPr>
      <w:r>
        <w:rPr>
          <w:rFonts w:ascii="Times New Roman" w:cs="Times New Roman" w:eastAsia="Times New Roman" w:hAnsi="Times New Roman"/>
          <w:sz w:val="24"/>
          <w:szCs w:val="24"/>
        </w:rPr>
        <w:t xml:space="preserve">A proposta inicial da equipe é testar a plataforma em ambientes reais de projetos pessoais, por meio da construção de diversos projetos de diferentes tipos de escopo e nicho. Essa abordagem caracteriza um estudo de caso múltiplo (multiple case study): em vez de validar a ferramenta em um único sistema, ela é testada repetidamente em contextos distintos, o que fortalece a generalização das conclusões — um projeto de e-commerce, uma API financeira e um aplicativo mobile, por exemplo, têm perfis de regras de negócio, dependências e criticidade de ambiente muito diferentes entre si, e a ferramenta precisa se comportar bem em todos.</w:t>
      </w:r>
    </w:p>
    <w:p>
      <w:pPr>
        <w:spacing w:after="0" w:line="360" w:lineRule="auto"/>
        <w:ind w:firstLine="709"/>
        <w:jc w:val="both"/>
      </w:pPr>
      <w:r>
        <w:rPr>
          <w:rFonts w:ascii="Times New Roman" w:cs="Times New Roman" w:eastAsia="Times New Roman" w:hAnsi="Times New Roman"/>
          <w:sz w:val="24"/>
          <w:szCs w:val="24"/>
        </w:rPr>
        <w:t xml:space="preserve">Para que essa validação gere dados comparáveis, recomenda-se que cada projeto-piloto seja construído com: (i) um conjunto de regras de negócio documentadas no template padrão já definido pela equipe; (ii) histórico de commits e Pull Requests reais, não sintéticos; e (iii) ao menos alguns defeitos propositalmente inseridos ou provenientes do desenvolvimento natural do projeto, para que seja possível avaliar se a plataforma os identifica antes do deploy.</w:t>
      </w:r>
    </w:p>
    <w:p>
      <w:pPr>
        <w:pStyle w:val="Heading2"/>
        <w:spacing w:after="200" w:before="320" w:line="360"/>
        <w:jc w:val="left"/>
      </w:pPr>
      <w:bookmarkStart w:name="_Toc14" w:id="14"/>
      <w:r>
        <w:rPr>
          <w:rFonts w:ascii="Times New Roman" w:cs="Times New Roman" w:eastAsia="Times New Roman" w:hAnsi="Times New Roman"/>
          <w:b/>
          <w:bCs/>
          <w:sz w:val="24"/>
          <w:szCs w:val="24"/>
        </w:rPr>
        <w:t xml:space="preserve">3.2 Sugestões complementares de validação</w:t>
      </w:r>
      <w:bookmarkEnd w:id="14"/>
    </w:p>
    <w:p>
      <w:pPr>
        <w:spacing w:after="0" w:line="360" w:lineRule="auto"/>
        <w:ind w:firstLine="709"/>
        <w:jc w:val="both"/>
      </w:pPr>
      <w:r>
        <w:rPr>
          <w:rFonts w:ascii="Times New Roman" w:cs="Times New Roman" w:eastAsia="Times New Roman" w:hAnsi="Times New Roman"/>
          <w:sz w:val="24"/>
          <w:szCs w:val="24"/>
        </w:rPr>
        <w:t xml:space="preserve">Além da abordagem de projetos-piloto próprios, sugerem-se três estratégias complementares, que aumentam o rigor metodológico do trabalho sem exigir recursos adicionais significativos: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Validação retrospectiva em repositórios de código aberto com histórico de incidentes conhecido: replicar, em menor escala, o método usado por Göçmen, Cezayir e Tüzün (2025), que testaram viabilidade computacional em projetos como joda-time, OpenPDF e Arduino. A vantagem é comparar o que a plataforma teria sinalizado em um Pull Request antigo com o que de fato aconteceu depois (houve incidente ou não), gerando uma medida objetiva de precisão sem esperar meses por dados de produção próprios;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Sessões estruturadas de feedback com desenvolvedores reais (grupo focal ou entrevista) revisando as saídas da ferramenta, seguindo o desenho de Göçmen, Cezayir e Tüzün (2025) — apresentação, demonstração, questionário pós-demonstração e discussão. Isso complementa as métricas puramente técnicas com a percepção qualitativa de quem de fato usaria a ferramenta no dia a dia;</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Comparação antes/depois em um mesmo projeto-piloto: desenvolver uma funcionalidade sem o apoio da plataforma e, posteriormente, uma funcionalidade de escopo comparável com o apoio da plataforma, registrando número de defeitos identificados antes e depois do deploy e o tempo de correção em cada caso. É uma comparação limitada — não elimina variáveis como aprendizado do desenvolvedor entre uma tarefa e outra — mas gera um primeiro indício quantitativo defensável perante a banca.</w:t>
      </w:r>
    </w:p>
    <w:p>
      <w:pPr>
        <w:spacing w:after="0" w:line="360" w:lineRule="auto"/>
        <w:ind w:firstLine="709"/>
        <w:jc w:val="both"/>
      </w:pPr>
      <w:r>
        <w:rPr>
          <w:rFonts w:ascii="Times New Roman" w:cs="Times New Roman" w:eastAsia="Times New Roman" w:hAnsi="Times New Roman"/>
          <w:i/>
          <w:iCs/>
          <w:sz w:val="24"/>
          <w:szCs w:val="24"/>
        </w:rPr>
        <w:t xml:space="preserve">Do ponto de vista de classificação metodológica formal, para fins de escrita do capítulo de metodologia do TCC, recomenda-se descrever a pesquisa como: quanto à natureza, aplicada; quanto aos objetivos, exploratória; quanto à abordagem, mista (quali-quantitativa); e quanto aos procedimentos técnicos, um estudo de caso múltiplo apoiado por desenvolvimento tecnológico.</w:t>
      </w:r>
    </w:p>
    <w:p>
      <w:pPr>
        <w:pStyle w:val="Heading1"/>
        <w:spacing w:after="240" w:before="480" w:line="360"/>
        <w:jc w:val="left"/>
      </w:pPr>
      <w:bookmarkStart w:name="_Toc15" w:id="15"/>
      <w:r>
        <w:rPr>
          <w:rFonts w:ascii="Times New Roman" w:cs="Times New Roman" w:eastAsia="Times New Roman" w:hAnsi="Times New Roman"/>
          <w:b/>
          <w:bCs/>
          <w:sz w:val="24"/>
          <w:szCs w:val="24"/>
        </w:rPr>
        <w:t xml:space="preserve">4 ARQUITETURA HÍBRIDA DE VERIFICAÇÃO: MOTOR DETERMINÍSTICO E AGENTES DE SIMULAÇÃO DE FALHAS</w:t>
      </w:r>
      <w:bookmarkEnd w:id="15"/>
    </w:p>
    <w:p>
      <w:pPr>
        <w:spacing w:after="0" w:line="360" w:lineRule="auto"/>
        <w:ind w:firstLine="709"/>
        <w:jc w:val="both"/>
      </w:pPr>
      <w:r>
        <w:rPr>
          <w:rFonts w:ascii="Times New Roman" w:cs="Times New Roman" w:eastAsia="Times New Roman" w:hAnsi="Times New Roman"/>
          <w:sz w:val="24"/>
          <w:szCs w:val="24"/>
        </w:rPr>
        <w:t xml:space="preserve">A análise estática e determinística, por mais precisa que seja, tem um limite estrutural: ela não captura erros de estado, concorrência, latência de rede e falhas de infraestrutura — categorias de defeito que raramente aparecem como um padrão sintático identificável no código, e que estão entre as causas mais comuns de incidentes reais em produção. Para endereçar essa lacuna, o grupo desenhou uma arquitetura híbrida que combina o motor determinístico de extração de grafos com uma camada de agentes de IA especializados em simular condições de falha, denominada internamente ShielDepy.</w:t>
      </w:r>
    </w:p>
    <w:p>
      <w:pPr>
        <w:pStyle w:val="Heading2"/>
        <w:spacing w:after="200" w:before="320" w:line="360"/>
        <w:jc w:val="left"/>
      </w:pPr>
      <w:bookmarkStart w:name="_Toc16" w:id="16"/>
      <w:r>
        <w:rPr>
          <w:rFonts w:ascii="Times New Roman" w:cs="Times New Roman" w:eastAsia="Times New Roman" w:hAnsi="Times New Roman"/>
          <w:b/>
          <w:bCs/>
          <w:sz w:val="24"/>
          <w:szCs w:val="24"/>
        </w:rPr>
        <w:t xml:space="preserve">4.1 Motivação: o que a análise estática não cobre</w:t>
      </w:r>
      <w:bookmarkEnd w:id="16"/>
    </w:p>
    <w:p>
      <w:pPr>
        <w:spacing w:after="0" w:line="360" w:lineRule="auto"/>
        <w:ind w:firstLine="709"/>
        <w:jc w:val="both"/>
      </w:pPr>
      <w:r>
        <w:rPr>
          <w:rFonts w:ascii="Times New Roman" w:cs="Times New Roman" w:eastAsia="Times New Roman" w:hAnsi="Times New Roman"/>
          <w:sz w:val="24"/>
          <w:szCs w:val="24"/>
        </w:rPr>
        <w:t xml:space="preserve">Ferramentas de análise estática — incluindo o Semgrep e o SonarQube já discutidos na seção 1.1 — identificam padrões sintáticos conhecidos: uma validação ausente, uma função com complexidade excessiva, uma vulnerabilidade catalogada. O que essas ferramentas estruturalmente não alcançam são defeitos que só se manifestam em tempo de execução, sob condições específicas: duas rotas que escrevem no mesmo recurso ao mesmo tempo, uma dependência externa que demora a responder, um payload que chega em um formato inesperado. Esses são, justamente, os defeitos que mais geram os hotfixes e hotdeploys discutidos na seção 2 — porque não são erros de sintaxe, são erros de comportamento sob estresse.</w:t>
      </w:r>
    </w:p>
    <w:p>
      <w:pPr>
        <w:pStyle w:val="Heading2"/>
        <w:spacing w:after="200" w:before="320" w:line="360"/>
        <w:jc w:val="left"/>
      </w:pPr>
      <w:bookmarkStart w:name="_Toc17" w:id="17"/>
      <w:r>
        <w:rPr>
          <w:rFonts w:ascii="Times New Roman" w:cs="Times New Roman" w:eastAsia="Times New Roman" w:hAnsi="Times New Roman"/>
          <w:b/>
          <w:bCs/>
          <w:sz w:val="24"/>
          <w:szCs w:val="24"/>
        </w:rPr>
        <w:t xml:space="preserve">4.2 Motor determinístico: extração de grafos</w:t>
      </w:r>
      <w:bookmarkEnd w:id="17"/>
    </w:p>
    <w:p>
      <w:pPr>
        <w:spacing w:after="0" w:line="360" w:lineRule="auto"/>
        <w:ind w:firstLine="709"/>
        <w:jc w:val="both"/>
      </w:pPr>
      <w:r>
        <w:rPr>
          <w:rFonts w:ascii="Times New Roman" w:cs="Times New Roman" w:eastAsia="Times New Roman" w:hAnsi="Times New Roman"/>
          <w:sz w:val="24"/>
          <w:szCs w:val="24"/>
        </w:rPr>
        <w:t xml:space="preserve">A primeira camada da arquitetura permanece inteiramente determinística, sem envolvimento de IA — mantendo o princípio de que ferramentas estáticas e determinísticas devem esgotar o que conseguem resolver sozinhas antes de qualquer chamada a um modelo de linguagem. Utilizando Tree-sitter para extração da árvore sintática abstrata, o motor constrói dois grafos complementares: um Grafo Estrutural, representando a organização do código (módulos, funções, classes e suas relações de dependência), e um Grafo de Interações, representando como cada função acessa recursos compartilhados, no formato {recurso, evento, leituras, escritas}. É a partir do Grafo de Interações que o motor identifica os "pontos de contato" críticos: trechos em que múltiplas funções tocam o mesmo recurso — por exemplo, o mesmo registro de banco de dados —, que são justamente os pontos em que erros de concorrência tendem a ocorrer.</w:t>
      </w:r>
    </w:p>
    <w:p>
      <w:pPr>
        <w:pStyle w:val="Heading2"/>
        <w:spacing w:after="200" w:before="320" w:line="360"/>
        <w:jc w:val="left"/>
      </w:pPr>
      <w:bookmarkStart w:name="_Toc18" w:id="18"/>
      <w:r>
        <w:rPr>
          <w:rFonts w:ascii="Times New Roman" w:cs="Times New Roman" w:eastAsia="Times New Roman" w:hAnsi="Times New Roman"/>
          <w:b/>
          <w:bCs/>
          <w:sz w:val="24"/>
          <w:szCs w:val="24"/>
        </w:rPr>
        <w:t xml:space="preserve">4.3 Camada de agentes: simulação de caos dirigida por grafos</w:t>
      </w:r>
      <w:bookmarkEnd w:id="18"/>
    </w:p>
    <w:p>
      <w:pPr>
        <w:spacing w:after="0" w:line="360" w:lineRule="auto"/>
        <w:ind w:firstLine="709"/>
        <w:jc w:val="both"/>
      </w:pPr>
      <w:r>
        <w:rPr>
          <w:rFonts w:ascii="Times New Roman" w:cs="Times New Roman" w:eastAsia="Times New Roman" w:hAnsi="Times New Roman"/>
          <w:sz w:val="24"/>
          <w:szCs w:val="24"/>
        </w:rPr>
        <w:t xml:space="preserve">A segunda camada só é acionada sobre os pontos de contato que o motor determinístico já isolou como áreas de risco — nunca sobre o código-fonte bruto. Um conjunto de agentes especializados, orquestrados via LangGraph, recebe a representação em grafo desses pontos de contato e gera cenários de falha específicos para cada um: um agente de concorrência avalia se duas regras que tocam o mesmo recurso são de fato mutuamente exclusivas e, caso não sejam, gera um teste de carga simultânea para tentar forçar uma race condition; um agente de rede intercepta chamadas a serviços externos identificadas no grafo e as força a responder com erros intermitentes, atrasos artificiais ou payloads corrompidos, simulando a queda de uma dependência externa.</w:t>
      </w:r>
    </w:p>
    <w:p>
      <w:pPr>
        <w:spacing w:after="0" w:line="360" w:lineRule="auto"/>
        <w:ind w:firstLine="709"/>
        <w:jc w:val="both"/>
      </w:pPr>
      <w:r>
        <w:rPr>
          <w:rFonts w:ascii="Times New Roman" w:cs="Times New Roman" w:eastAsia="Times New Roman" w:hAnsi="Times New Roman"/>
          <w:sz w:val="24"/>
          <w:szCs w:val="24"/>
        </w:rPr>
        <w:t xml:space="preserve">Essa abordagem segue a disciplina de Chaos Engineering, formalizada por engenheiros da Netflix como a prática de experimentar deliberadamente sobre um sistema distribuído para construir confiança em sua capacidade de resistir a condições adversas em produção (BASIRI et al., 2016). A contribuição deste trabalho está em aplicar esse princípio — tradicionalmente executado em produção, sobre infraestrutura real — de forma antecipada, em ambiente de desenvolvimento, e dirigida pela topologia real do código extraída pelo motor determinístico, em vez de por seleção aleatória de instâncias como no Chaos Monkey original.</w:t>
      </w:r>
    </w:p>
    <w:p>
      <w:pPr>
        <w:pStyle w:val="Heading2"/>
        <w:spacing w:after="200" w:before="320" w:line="360"/>
        <w:jc w:val="left"/>
      </w:pPr>
      <w:bookmarkStart w:name="_Toc19" w:id="19"/>
      <w:r>
        <w:rPr>
          <w:rFonts w:ascii="Times New Roman" w:cs="Times New Roman" w:eastAsia="Times New Roman" w:hAnsi="Times New Roman"/>
          <w:b/>
          <w:bCs/>
          <w:sz w:val="24"/>
          <w:szCs w:val="24"/>
        </w:rPr>
        <w:t xml:space="preserve">4.4 Pipeline completo</w:t>
      </w:r>
      <w:bookmarkEnd w:id="19"/>
    </w:p>
    <w:p>
      <w:pPr>
        <w:spacing w:after="0" w:line="360" w:lineRule="auto"/>
        <w:ind w:firstLine="709"/>
        <w:jc w:val="both"/>
      </w:pPr>
      <w:r>
        <w:rPr>
          <w:rFonts w:ascii="Times New Roman" w:cs="Times New Roman" w:eastAsia="Times New Roman" w:hAnsi="Times New Roman"/>
          <w:sz w:val="24"/>
          <w:szCs w:val="24"/>
        </w:rPr>
        <w:t xml:space="preserve">O fluxo de trabalho da arquitetura híbrida é dividido em quatro fases: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Fase 1 — Mapeamento determinístico: o motor descrito na seção 4.2 gera o Grafo Estrutural e o Grafo de Interações e identifica os pontos de contato críticos, sem qualquer intervenção de IA;</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Fase 2 — Ingestão de contexto e criação da superfície de ataque: um agente consome os grafos gerados e os cruza com uma base de conhecimento de erros comuns de produção (timeouts, deadlocks de banco de dados, webhooks duplicados, race conditions, queda de dependência externa), priorizando os pontos de contato mais críticos;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Fase 3 — Agentes de stress: os agentes especializados desenham e executam, em ambiente de desenvolvimento, cenários de falha sobre os pontos de contato priorizados;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Fase 4 — Feedback e gates de CI/CD: a saída dos agentes não é apenas um relatório textual, mas testes automatizados reais, gerados dinamicamente (por exemplo, em Jest, Playwright ou k6), que provam a existência da falha. Se o teste quebra, a mudança é barrada antes da promoção de ambiente, integrando-se ao mecanismo de gate já discutido neste trabalho.</w:t>
      </w:r>
    </w:p>
    <w:p>
      <w:pPr>
        <w:pStyle w:val="Heading2"/>
        <w:spacing w:after="200" w:before="320" w:line="360"/>
        <w:jc w:val="left"/>
      </w:pPr>
      <w:bookmarkStart w:name="_Toc20" w:id="20"/>
      <w:r>
        <w:rPr>
          <w:rFonts w:ascii="Times New Roman" w:cs="Times New Roman" w:eastAsia="Times New Roman" w:hAnsi="Times New Roman"/>
          <w:b/>
          <w:bCs/>
          <w:sz w:val="24"/>
          <w:szCs w:val="24"/>
        </w:rPr>
        <w:t xml:space="preserve">4.5 Nota sobre custo de tokens</w:t>
      </w:r>
      <w:bookmarkEnd w:id="20"/>
    </w:p>
    <w:p>
      <w:pPr>
        <w:spacing w:after="0" w:line="360" w:lineRule="auto"/>
        <w:ind w:firstLine="709"/>
        <w:jc w:val="both"/>
      </w:pPr>
      <w:r>
        <w:rPr>
          <w:rFonts w:ascii="Times New Roman" w:cs="Times New Roman" w:eastAsia="Times New Roman" w:hAnsi="Times New Roman"/>
          <w:i/>
          <w:iCs/>
          <w:sz w:val="24"/>
          <w:szCs w:val="24"/>
        </w:rPr>
        <w:t xml:space="preserve">A escolha de manter o motor de extração de grafos inteiramente determinístico, acionando os agentes de IA apenas sobre pontos de contato já filtrados, não se justifica pela necessidade de controlar o custo de IA da própria plataforma — sob o modelo BYOK descrito na seção 6, esse custo é do cliente, não da startup. A justificativa é, em vez disso, técnica: entregar ao agente uma representação estruturada do grafo, em vez do código-fonte bruto, reduz o volume de dados processado, diminui a chance de alucinação de sintaxe e garante contexto arquitetural imediato — ganhos de precisão e de velocidade de resposta que seguem válidos independentemente de quem paga a conta de tokens.</w:t>
      </w:r>
    </w:p>
    <w:p>
      <w:pPr>
        <w:pStyle w:val="Heading1"/>
        <w:spacing w:after="240" w:before="480" w:line="360"/>
        <w:jc w:val="left"/>
      </w:pPr>
      <w:bookmarkStart w:name="_Toc21" w:id="21"/>
      <w:r>
        <w:rPr>
          <w:rFonts w:ascii="Times New Roman" w:cs="Times New Roman" w:eastAsia="Times New Roman" w:hAnsi="Times New Roman"/>
          <w:b/>
          <w:bCs/>
          <w:sz w:val="24"/>
          <w:szCs w:val="24"/>
        </w:rPr>
        <w:t xml:space="preserve">5 PLANO DE AVALIAÇÃO E EXPERIMENTAÇÃO</w:t>
      </w:r>
      <w:bookmarkEnd w:id="21"/>
    </w:p>
    <w:p>
      <w:pPr>
        <w:spacing w:after="0" w:line="360" w:lineRule="auto"/>
        <w:ind w:firstLine="709"/>
        <w:jc w:val="both"/>
      </w:pPr>
      <w:r>
        <w:rPr>
          <w:rFonts w:ascii="Times New Roman" w:cs="Times New Roman" w:eastAsia="Times New Roman" w:hAnsi="Times New Roman"/>
          <w:sz w:val="24"/>
          <w:szCs w:val="24"/>
        </w:rPr>
        <w:t xml:space="preserve">O plano de avaliação combina um sistema de feedback explícito, já previsto no backlog do projeto, com um conjunto de sinais implícitos de comportamento do usuário — inspirado em práticas já adotadas por produtos de IA conversacional para inferir qualidade de resposta sem depender exclusivamente de avaliação manual.</w:t>
      </w:r>
    </w:p>
    <w:p>
      <w:pPr>
        <w:pStyle w:val="Heading2"/>
        <w:spacing w:after="200" w:before="320" w:line="360"/>
        <w:jc w:val="left"/>
      </w:pPr>
      <w:bookmarkStart w:name="_Toc22" w:id="22"/>
      <w:r>
        <w:rPr>
          <w:rFonts w:ascii="Times New Roman" w:cs="Times New Roman" w:eastAsia="Times New Roman" w:hAnsi="Times New Roman"/>
          <w:b/>
          <w:bCs/>
          <w:sz w:val="24"/>
          <w:szCs w:val="24"/>
        </w:rPr>
        <w:t xml:space="preserve">5.1 Sistema de feedback embutido na IA</w:t>
      </w:r>
      <w:bookmarkEnd w:id="22"/>
    </w:p>
    <w:p>
      <w:pPr>
        <w:spacing w:after="0" w:line="360" w:lineRule="auto"/>
        <w:ind w:firstLine="709"/>
        <w:jc w:val="both"/>
      </w:pPr>
      <w:r>
        <w:rPr>
          <w:rFonts w:ascii="Times New Roman" w:cs="Times New Roman" w:eastAsia="Times New Roman" w:hAnsi="Times New Roman"/>
          <w:sz w:val="24"/>
          <w:szCs w:val="24"/>
        </w:rPr>
        <w:t xml:space="preserve">Conforme já definido no planejamento do backlog do projeto, cada alerta gerado pela IA deve conter um mecanismo de avaliação explícita — "Concordo" / "Falso positivo" — com um campo opcional de comentário. Os dados coletados durante os próprios testes da IA (nos projetos-piloto descritos na seção 3) alimentam uma base vinculando: o alerta original, o veredito do desenvolvedor e, quando disponível, o resultado real após o deploy (houve ou não incidente relacionado).</w:t>
      </w:r>
    </w:p>
    <w:p>
      <w:pPr>
        <w:pStyle w:val="Heading2"/>
        <w:spacing w:after="200" w:before="320" w:line="360"/>
        <w:jc w:val="left"/>
      </w:pPr>
      <w:bookmarkStart w:name="_Toc23" w:id="23"/>
      <w:r>
        <w:rPr>
          <w:rFonts w:ascii="Times New Roman" w:cs="Times New Roman" w:eastAsia="Times New Roman" w:hAnsi="Times New Roman"/>
          <w:b/>
          <w:bCs/>
          <w:sz w:val="24"/>
          <w:szCs w:val="24"/>
        </w:rPr>
        <w:t xml:space="preserve">5.2 Sinais implícitos de avaliação</w:t>
      </w:r>
      <w:bookmarkEnd w:id="23"/>
    </w:p>
    <w:p>
      <w:pPr>
        <w:spacing w:after="0" w:line="360" w:lineRule="auto"/>
        <w:ind w:firstLine="709"/>
        <w:jc w:val="both"/>
      </w:pPr>
      <w:r>
        <w:rPr>
          <w:rFonts w:ascii="Times New Roman" w:cs="Times New Roman" w:eastAsia="Times New Roman" w:hAnsi="Times New Roman"/>
          <w:sz w:val="24"/>
          <w:szCs w:val="24"/>
        </w:rPr>
        <w:t xml:space="preserve">Complementarmente à avaliação explícita, propõe-se um modelo de sinais implícitos de comportamento, análogo ao usado por outros produtos de IA para inferir se uma resposta resolveu ou não a necessidade do usuário sem exigir que ele avalie manualmente toda interação:</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Reincidência de prompts sobre o mesmo alerta sem resolução: se o desenvolvedor precisa fazer múltiplas perguntas de acompanhamento sobre o mesmo alerta, é um sinal de que a IA não está resolvendo a dor do usuário na primeira resposta — sinal negativo;</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Abandono/prosseguimento sem nova interação: se o desenvolvedor recebe a sugestão e segue em frente (aplica a correção, faz o commit, ou simplesmente não volta a interagir com aquele alerta), é um indício de que a resposta foi satisfatória — sinal positivo;</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Avaliação explícita positiva ("Concordo"): sinal fortemente positivo, pois confirma de forma inequívoca que a IA acertou;</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Avaliação explícita negativa ("Falso positivo"): sinal fortemente negativo, pois confirma de forma inequívoca que a IA errou.</w:t>
      </w:r>
    </w:p>
    <w:p>
      <w:pPr>
        <w:spacing w:after="0" w:line="360" w:lineRule="auto"/>
        <w:ind w:firstLine="709"/>
        <w:jc w:val="both"/>
      </w:pPr>
      <w:r>
        <w:rPr>
          <w:rFonts w:ascii="Times New Roman" w:cs="Times New Roman" w:eastAsia="Times New Roman" w:hAnsi="Times New Roman"/>
          <w:sz w:val="24"/>
          <w:szCs w:val="24"/>
        </w:rPr>
        <w:t xml:space="preserve">Esses quatro sinais podem ser combinados em um índice simples de eficácia percebida, como no modelo de pesos a seguir — os valores são um ponto de partida e devem ser calibrados com os dados reais coletados nos projetos-piloto: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Sinal</w:t>
            </w:r>
          </w:p>
        </w:tc>
        <w:tc>
          <w:tcPr>
            <w:tcW w:type="dxa" w:w="300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Peso sugerido</w:t>
            </w:r>
          </w:p>
        </w:tc>
        <w:tc>
          <w:tcPr>
            <w:tcW w:type="dxa" w:w="300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Interpretação</w:t>
            </w:r>
          </w:p>
        </w:tc>
      </w:tr>
      <w:tr>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Avaliação explícita positiva</w:t>
            </w:r>
          </w:p>
        </w:tc>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+2 (mega positivo)</w:t>
            </w:r>
          </w:p>
        </w:tc>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Confirmação inequívoca de acerto</w:t>
            </w:r>
          </w:p>
        </w:tc>
      </w:tr>
      <w:tr>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Prosseguimento sem nova interação</w:t>
            </w:r>
          </w:p>
        </w:tc>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+1</w:t>
            </w:r>
          </w:p>
        </w:tc>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Indício de satisfação, sem confirmação explícita</w:t>
            </w:r>
          </w:p>
        </w:tc>
      </w:tr>
      <w:tr>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Reincidência de prompt sobre o mesmo alerta</w:t>
            </w:r>
          </w:p>
        </w:tc>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−1</w:t>
            </w:r>
          </w:p>
        </w:tc>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Indício de que a resposta não resolveu o problema</w:t>
            </w:r>
          </w:p>
        </w:tc>
      </w:tr>
      <w:tr>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Avaliação explícita negativa</w:t>
            </w:r>
          </w:p>
        </w:tc>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−2 (mega negativo)</w:t>
            </w:r>
          </w:p>
        </w:tc>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Confirmação inequívoca de erro (falso positivo)</w:t>
            </w:r>
          </w:p>
        </w:tc>
      </w:tr>
    </w:tbl>
    <w:p>
      <w:pPr>
        <w:spacing w:after="0" w:line="360" w:lineRule="auto"/>
        <w:ind w:firstLine="709"/>
        <w:jc w:val="both"/>
      </w:pPr>
      <w:r>
        <w:rPr>
          <w:rFonts w:ascii="Times New Roman" w:cs="Times New Roman" w:eastAsia="Times New Roman" w:hAnsi="Times New Roman"/>
          <w:i/>
          <w:iCs/>
          <w:sz w:val="24"/>
          <w:szCs w:val="24"/>
        </w:rPr>
        <w:t xml:space="preserve">É importante notar que os sinais implícitos são inferências probabilísticas, não confirmações — um desenvolvedor pode deixar de interagir com um alerta por falta de tempo, não por satisfação. Por isso, o índice de eficácia percebida deve ser tratado como um sinal complementar à avaliação explícita e ao dado mais objetivo de todos, discutido a seguir: a correlação entre o risk score emitido pela IA e a ocorrência real de incidentes pós-deploy.</w:t>
      </w:r>
    </w:p>
    <w:p>
      <w:pPr>
        <w:pStyle w:val="Heading2"/>
        <w:spacing w:after="200" w:before="320" w:line="360"/>
        <w:jc w:val="left"/>
      </w:pPr>
      <w:bookmarkStart w:name="_Toc24" w:id="24"/>
      <w:r>
        <w:rPr>
          <w:rFonts w:ascii="Times New Roman" w:cs="Times New Roman" w:eastAsia="Times New Roman" w:hAnsi="Times New Roman"/>
          <w:b/>
          <w:bCs/>
          <w:sz w:val="24"/>
          <w:szCs w:val="24"/>
        </w:rPr>
        <w:t xml:space="preserve">5.3 Métricas de sucesso propostas</w:t>
      </w:r>
      <w:bookmarkEnd w:id="24"/>
    </w:p>
    <w:p>
      <w:pPr>
        <w:spacing w:after="0" w:line="360" w:lineRule="auto"/>
        <w:ind w:firstLine="709"/>
        <w:jc w:val="both"/>
      </w:pPr>
      <w:r>
        <w:rPr>
          <w:rFonts w:ascii="Times New Roman" w:cs="Times New Roman" w:eastAsia="Times New Roman" w:hAnsi="Times New Roman"/>
          <w:sz w:val="24"/>
          <w:szCs w:val="24"/>
        </w:rPr>
        <w:t xml:space="preserve">Consolidando os elementos discutidos nas seções anteriores, propõe-se que o plano de avaliação do projeto meça, ao longo dos testes em ambiente real:</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Taxa de falsos positivos, calculada a partir da avaliação explícita dos desenvolvedores (seção 4.1);</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Índice de eficácia percebida, calculado a partir da combinação de sinais explícitos e implícitos (seção 5.2);</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Correlação entre o risk score emitido pela IA e a ocorrência real de incidentes pós-deploy nos projetos-piloto, avaliada progressivamente conforme os dados se acumulam;</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Redução no número de hotfixes/hotdeploys observados nos projetos-piloto, comparando períodos com e sem o uso da plataforma;</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Tempo médio de correção (uma aproximação de MTTR) antes e depois da adoção da plataforma, dentro do possível de medir nos projetos pessoais utilizados como piloto.</w:t>
      </w:r>
    </w:p>
    <w:p>
      <w:pPr>
        <w:spacing w:after="0" w:line="360" w:lineRule="auto"/>
        <w:ind w:firstLine="709"/>
        <w:jc w:val="both"/>
      </w:pPr>
      <w:r>
        <w:rPr>
          <w:rFonts w:ascii="Times New Roman" w:cs="Times New Roman" w:eastAsia="Times New Roman" w:hAnsi="Times New Roman"/>
          <w:sz w:val="24"/>
          <w:szCs w:val="24"/>
        </w:rPr>
        <w:t xml:space="preserve">Essas métricas, tomadas em conjunto, respondem diretamente à pergunta de pesquisa formulada na seção 2.4 e fornecem à banca avaliadora indicadores concretos — não apenas a alegação de que a ferramenta "funciona", mas dados sobre o quanto e em que condições ela funciona.</w:t>
      </w:r>
    </w:p>
    <w:p>
      <w:pPr>
        <w:pStyle w:val="Heading1"/>
        <w:spacing w:after="240" w:before="480" w:line="360"/>
        <w:jc w:val="left"/>
      </w:pPr>
      <w:bookmarkStart w:name="_Toc25" w:id="25"/>
      <w:r>
        <w:rPr>
          <w:rFonts w:ascii="Times New Roman" w:cs="Times New Roman" w:eastAsia="Times New Roman" w:hAnsi="Times New Roman"/>
          <w:b/>
          <w:bCs/>
          <w:sz w:val="24"/>
          <w:szCs w:val="24"/>
        </w:rPr>
        <w:t xml:space="preserve">6 MODELO DE NEGÓCIO E SUSTENTABILIDADE DE CUSTOS</w:t>
      </w:r>
      <w:bookmarkEnd w:id="25"/>
    </w:p>
    <w:p>
      <w:pPr>
        <w:spacing w:after="0" w:line="360" w:lineRule="auto"/>
        <w:ind w:firstLine="709"/>
        <w:jc w:val="both"/>
      </w:pPr>
      <w:r>
        <w:rPr>
          <w:rFonts w:ascii="Times New Roman" w:cs="Times New Roman" w:eastAsia="Times New Roman" w:hAnsi="Times New Roman"/>
          <w:sz w:val="24"/>
          <w:szCs w:val="24"/>
        </w:rPr>
        <w:t xml:space="preserve">Esta seção documenta as decisões de arquitetura de custo e precificação tomadas pelo grupo ao longo do desenvolvimento do projeto, priorizando três critérios definidos desde o início: facilidade de operação, baixo custo e segurança de continuidade do serviço — este último especialmente relevante por se tratar de uma ferramenta com função de prevenção de falhas, cuja interrupção pode ser mais prejudicial do que a ausência da proteção em si.</w:t>
      </w:r>
    </w:p>
    <w:p>
      <w:pPr>
        <w:pStyle w:val="Heading2"/>
        <w:spacing w:after="200" w:before="320" w:line="360"/>
        <w:jc w:val="left"/>
      </w:pPr>
      <w:bookmarkStart w:name="_Toc26" w:id="26"/>
      <w:r>
        <w:rPr>
          <w:rFonts w:ascii="Times New Roman" w:cs="Times New Roman" w:eastAsia="Times New Roman" w:hAnsi="Times New Roman"/>
          <w:b/>
          <w:bCs/>
          <w:sz w:val="24"/>
          <w:szCs w:val="24"/>
        </w:rPr>
        <w:t xml:space="preserve">6.1 Decisão de arquitetura: IA sob o modelo BYOK (Bring Your Own Key)</w:t>
      </w:r>
      <w:bookmarkEnd w:id="26"/>
    </w:p>
    <w:p>
      <w:pPr>
        <w:spacing w:after="0" w:line="360" w:lineRule="auto"/>
        <w:ind w:firstLine="709"/>
        <w:jc w:val="both"/>
      </w:pPr>
      <w:r>
        <w:rPr>
          <w:rFonts w:ascii="Times New Roman" w:cs="Times New Roman" w:eastAsia="Times New Roman" w:hAnsi="Times New Roman"/>
          <w:sz w:val="24"/>
          <w:szCs w:val="24"/>
        </w:rPr>
        <w:t xml:space="preserve">Entre as alternativas avaliadas para o custeio da inteligência artificial embutida na plataforma, o grupo optou pelo modelo conhecido no mercado como BYOK (Bring Your Own Key): a empresa cliente utiliza sua própria conta e chave de API junto ao provedor de IA, em vez de a plataforma intermediar e custear essas chamadas. Esse modelo já é adotado por ferramentas de desenvolvimento assistido por IA como o Cline, o Continue e o Aider — oferecidas como software gratuito, nas quais o desenvolvedor paga apenas o provedor do modelo diretamente, sem markup da ferramenta (PRICEPERTOKEN, 2026; TOOLRADAR, 2026).</w:t>
      </w:r>
    </w:p>
    <w:p>
      <w:pPr>
        <w:spacing w:after="0" w:line="360" w:lineRule="auto"/>
        <w:ind w:firstLine="709"/>
        <w:jc w:val="both"/>
      </w:pPr>
      <w:r>
        <w:rPr>
          <w:rFonts w:ascii="Times New Roman" w:cs="Times New Roman" w:eastAsia="Times New Roman" w:hAnsi="Times New Roman"/>
          <w:sz w:val="24"/>
          <w:szCs w:val="24"/>
        </w:rPr>
        <w:t xml:space="preserve">A escolha do modelo BYOK se justifica pelos três critérios definidos para o projeto:</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Facilidade — elimina a necessidade de a plataforma operar um sistema próprio de faturamento por consumo de tokens, que exigiria infraestrutura de medição, cobrança e disputa de uso significativamente mais complexa;</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Baixo custo — a plataforma deixa de ter o consumo de IA como custo variável em sua própria operação, reduzindo a exposição financeira do negócio, especialmente relevante em uma fase inicial de startup, com caixa limitado;</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Segurança de continuidade — uma ferramenta de prevenção de falhas não pode correr o risco de interromper o funcionamento por motivo de custo. Ao delegar o custo de IA à conta do próprio cliente, a plataforma remove de sua operação o principal fator de custo variável e imprevisível que poderia, em um cenário extremo, comprometer a continuidade do serviço.</w:t>
      </w:r>
    </w:p>
    <w:p>
      <w:pPr>
        <w:pStyle w:val="Heading2"/>
        <w:spacing w:after="200" w:before="320" w:line="360"/>
        <w:jc w:val="left"/>
      </w:pPr>
      <w:bookmarkStart w:name="_Toc27" w:id="27"/>
      <w:r>
        <w:rPr>
          <w:rFonts w:ascii="Times New Roman" w:cs="Times New Roman" w:eastAsia="Times New Roman" w:hAnsi="Times New Roman"/>
          <w:b/>
          <w:bCs/>
          <w:sz w:val="24"/>
          <w:szCs w:val="24"/>
        </w:rPr>
        <w:t xml:space="preserve">6.2 Comparativo com o mercado</w:t>
      </w:r>
      <w:bookmarkEnd w:id="27"/>
    </w:p>
    <w:p>
      <w:pPr>
        <w:spacing w:after="0" w:line="360" w:lineRule="auto"/>
        <w:ind w:firstLine="709"/>
        <w:jc w:val="both"/>
      </w:pPr>
      <w:r>
        <w:rPr>
          <w:rFonts w:ascii="Times New Roman" w:cs="Times New Roman" w:eastAsia="Times New Roman" w:hAnsi="Times New Roman"/>
          <w:sz w:val="24"/>
          <w:szCs w:val="24"/>
        </w:rPr>
        <w:t xml:space="preserve">Para calibrar a decisão de precificação, o grupo comparou dois grupos de ferramentas de mercado que representam os extremos do espectro de custo de IA: ferramentas que embutem o custo de IA no preço cobrado do cliente, e ferramentas que operam sob o modelo BYOK.</w:t>
      </w:r>
    </w:p>
    <w:p>
      <w:pPr>
        <w:spacing w:after="0" w:line="360" w:lineRule="auto"/>
        <w:ind w:firstLine="709"/>
        <w:jc w:val="both"/>
      </w:pPr>
      <w:r>
        <w:rPr>
          <w:rFonts w:ascii="Times New Roman" w:cs="Times New Roman" w:eastAsia="Times New Roman" w:hAnsi="Times New Roman"/>
          <w:sz w:val="24"/>
          <w:szCs w:val="24"/>
        </w:rPr>
        <w:t xml:space="preserve">Entre as ferramentas que embutem o custo de IA, o CodeRabbit cobra por desenvolvedor, com um plano de entrada a US$ 12, um plano intermediário a US$ 24 e um plano avançado a US$ 72 por mês (COSTBENCH, 2026; APICOSTCALC, 2026). O Qodo cobra US$ 30 por usuário no plano Teams, com Enterprise sob consulta (COSTBENCH, 2026). O Cursor Bugbot, complemento de revisão de código do editor Cursor, cobra US$ 40 por usuário por mês (DEVTOOLLAB, 2026). No outro extremo, ferramentas que operam sob o modelo BYOK — como o Cline, o Continue e o Aider — são oferecidas como software gratuito; o usuário paga apenas o consumo de tokens diretamente ao provedor de IA (PRICEPERTOKEN, 2026; TOOLRADAR,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Ferramenta</w:t>
            </w:r>
          </w:p>
        </w:tc>
        <w:tc>
          <w:tcPr>
            <w:tcW w:type="dxa" w:w="300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Modelo de custo de IA</w:t>
            </w:r>
          </w:p>
        </w:tc>
        <w:tc>
          <w:tcPr>
            <w:tcW w:type="dxa" w:w="300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Preço do software</w:t>
            </w:r>
          </w:p>
        </w:tc>
      </w:tr>
      <w:tr>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CodeRabbit</w:t>
            </w:r>
          </w:p>
        </w:tc>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Embutido no preço</w:t>
            </w:r>
          </w:p>
        </w:tc>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US$ 12 a US$ 72/dev/mês</w:t>
            </w:r>
          </w:p>
        </w:tc>
      </w:tr>
      <w:tr>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Qodo</w:t>
            </w:r>
          </w:p>
        </w:tc>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Embutido no preço</w:t>
            </w:r>
          </w:p>
        </w:tc>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US$ 30/usuário/mês (Teams)</w:t>
            </w:r>
          </w:p>
        </w:tc>
      </w:tr>
      <w:tr>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Cursor Bugbot</w:t>
            </w:r>
          </w:p>
        </w:tc>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Embutido no preço</w:t>
            </w:r>
          </w:p>
        </w:tc>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US$ 40/usuário/mês</w:t>
            </w:r>
          </w:p>
        </w:tc>
      </w:tr>
      <w:tr>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Cline / Continue / Aider</w:t>
            </w:r>
          </w:p>
        </w:tc>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BYOK (conta do próprio usuário)</w:t>
            </w:r>
          </w:p>
        </w:tc>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US$ 0 (software gratuito)</w:t>
            </w:r>
          </w:p>
        </w:tc>
      </w:tr>
    </w:tbl>
    <w:p>
      <w:pPr>
        <w:spacing w:after="0" w:line="360" w:lineRule="auto"/>
        <w:ind w:firstLine="709"/>
        <w:jc w:val="both"/>
      </w:pPr>
      <w:r>
        <w:rPr>
          <w:rFonts w:ascii="Times New Roman" w:cs="Times New Roman" w:eastAsia="Times New Roman" w:hAnsi="Times New Roman"/>
          <w:sz w:val="24"/>
          <w:szCs w:val="24"/>
        </w:rPr>
        <w:t xml:space="preserve">A diferença entre os dois grupos não está apenas em quem paga a IA, mas na quantidade de valor proprietário entregue além da chamada de IA em si. Ferramentas puramente BYOK, como o Cline, funcionam essencialmente como uma camada fina sobre o modelo de linguagem, sem lógica de negócio adicional, e por isso tendem ao preço zero, pressionadas pela concorrência de projetos de código aberto equivalentes. A plataforma proposta neste trabalho, por outro lado, mantém sob o modelo BYOK uma camada substancial de valor proprietário que nenhuma das ferramentas revisadas na seção 1.1 oferece: a leitura de regras de negócio documentadas e o gate condicional por ambiente de implantação. Por esse motivo, a decisão de precificação do grupo não mira o extremo gratuito do mercado, e sim uma posição intermediária, descrita a seguir.</w:t>
      </w:r>
    </w:p>
    <w:p>
      <w:pPr>
        <w:pStyle w:val="Heading2"/>
        <w:spacing w:after="200" w:before="320" w:line="360"/>
        <w:jc w:val="left"/>
      </w:pPr>
      <w:bookmarkStart w:name="_Toc28" w:id="28"/>
      <w:r>
        <w:rPr>
          <w:rFonts w:ascii="Times New Roman" w:cs="Times New Roman" w:eastAsia="Times New Roman" w:hAnsi="Times New Roman"/>
          <w:b/>
          <w:bCs/>
          <w:sz w:val="24"/>
          <w:szCs w:val="24"/>
        </w:rPr>
        <w:t xml:space="preserve">6.3 Precificação proposta</w:t>
      </w:r>
      <w:bookmarkEnd w:id="28"/>
    </w:p>
    <w:p>
      <w:pPr>
        <w:spacing w:after="0" w:line="360" w:lineRule="auto"/>
        <w:ind w:firstLine="709"/>
        <w:jc w:val="both"/>
      </w:pPr>
      <w:r>
        <w:rPr>
          <w:rFonts w:ascii="Times New Roman" w:cs="Times New Roman" w:eastAsia="Times New Roman" w:hAnsi="Times New Roman"/>
          <w:sz w:val="24"/>
          <w:szCs w:val="24"/>
        </w:rPr>
        <w:t xml:space="preserve">Com base no comparativo da seção 6.2, o grupo propõe uma estrutura de três planos, mantendo o modelo de instância dedicada por cliente discutido ao longo do projeto: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Plano</w:t>
            </w:r>
          </w:p>
        </w:tc>
        <w:tc>
          <w:tcPr>
            <w:tcW w:type="dxa" w:w="300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Preço estimado</w:t>
            </w:r>
          </w:p>
        </w:tc>
        <w:tc>
          <w:tcPr>
            <w:tcW w:type="dxa" w:w="300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Critério de posicionamento</w:t>
            </w:r>
          </w:p>
        </w:tc>
      </w:tr>
      <w:tr>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Starter</w:t>
            </w:r>
          </w:p>
        </w:tc>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Gratuito ou valor simbólico</w:t>
            </w:r>
          </w:p>
        </w:tc>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Equivalente ao extremo BYOK do mercado; escopo limitado, sem gate de ambiente</w:t>
            </w:r>
          </w:p>
        </w:tc>
      </w:tr>
      <w:tr>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Pro</w:t>
            </w:r>
          </w:p>
        </w:tc>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US$ 12 a US$ 20 por desenvolvedor/mês</w:t>
            </w:r>
          </w:p>
        </w:tc>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Entre os planos de entrada e intermediário do CodeRabbit, refletindo valor proprietário equivalente, descontado o custo de IA que o cliente assume</w:t>
            </w:r>
          </w:p>
        </w:tc>
      </w:tr>
      <w:tr>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Enterprise</w:t>
            </w:r>
          </w:p>
        </w:tc>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US$ 25 a US$ 40 por desenvolvedor/mês, ou contrato customizado</w:t>
            </w:r>
          </w:p>
        </w:tc>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Alinhado às faixas de Qodo e Cursor Bugbot Enterprise; inclui instância dedicada, SLA e suporte, independentemente do custo de IA</w:t>
            </w:r>
          </w:p>
        </w:tc>
      </w:tr>
    </w:tbl>
    <w:p>
      <w:pPr>
        <w:spacing w:after="0" w:line="360" w:lineRule="auto"/>
        <w:ind w:firstLine="709"/>
        <w:jc w:val="both"/>
      </w:pPr>
      <w:r>
        <w:rPr>
          <w:rFonts w:ascii="Times New Roman" w:cs="Times New Roman" w:eastAsia="Times New Roman" w:hAnsi="Times New Roman"/>
          <w:i/>
          <w:iCs/>
          <w:sz w:val="24"/>
          <w:szCs w:val="24"/>
        </w:rPr>
        <w:t xml:space="preserve">A faixa sugerida para o plano Pro corresponde à hipótese de que o custo de IA representa apenas uma fração do preço cobrado pelas ferramentas concorrentes — a maior parte do valor de mercado dessas ferramentas está em engenharia, suporte e margem, não no token em si. Essa é uma estimativa de trabalho a ser validada com clientes-piloto reais, não um preço final.</w:t>
      </w:r>
    </w:p>
    <w:p>
      <w:pPr>
        <w:pStyle w:val="Heading2"/>
        <w:spacing w:after="200" w:before="320" w:line="360"/>
        <w:jc w:val="left"/>
      </w:pPr>
      <w:bookmarkStart w:name="_Toc29" w:id="29"/>
      <w:r>
        <w:rPr>
          <w:rFonts w:ascii="Times New Roman" w:cs="Times New Roman" w:eastAsia="Times New Roman" w:hAnsi="Times New Roman"/>
          <w:b/>
          <w:bCs/>
          <w:sz w:val="24"/>
          <w:szCs w:val="24"/>
        </w:rPr>
        <w:t xml:space="preserve">6.4 Política de continuidade de serviço</w:t>
      </w:r>
      <w:bookmarkEnd w:id="29"/>
    </w:p>
    <w:p>
      <w:pPr>
        <w:spacing w:after="0" w:line="360" w:lineRule="auto"/>
        <w:ind w:firstLine="709"/>
        <w:jc w:val="both"/>
      </w:pPr>
      <w:r>
        <w:rPr>
          <w:rFonts w:ascii="Times New Roman" w:cs="Times New Roman" w:eastAsia="Times New Roman" w:hAnsi="Times New Roman"/>
          <w:sz w:val="24"/>
          <w:szCs w:val="24"/>
        </w:rPr>
        <w:t xml:space="preserve">Por se tratar de uma ferramenta classificada pelo próprio grupo como de função de segurança — sua ausência no momento certo pode custar mais caro do que qualquer economia obtida ao interrompê-la — o grupo definiu uma política de continuidade que separa dois cenários distintos: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Consumo acima do estimado, mas fatura em dia: o serviço nunca é interrompido; eventual uso adicional apenas é registrado para cobrança no ciclo seguinte;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Inadimplência real (fatura não paga): aplica-se um período de carência entre 7 e 15 dias, alinhado ao padrão observado em ferramentas SaaS B2B, com avisos recorrentes ao responsável financeiro da empresa cliente, sem interrupção do serviço durante esse período;</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Apenas após o esgotamento da carência, o serviço é degradado — não desligado por completo: a plataforma passa a operar apenas com a camada de análise estática (Semgrep e SonarQube), sem chamadas à camada de IA, preservando uma proteção mínima até a regularização.</w:t>
      </w:r>
    </w:p>
    <w:p>
      <w:pPr>
        <w:spacing w:after="0" w:line="360" w:lineRule="auto"/>
        <w:ind w:firstLine="709"/>
        <w:jc w:val="both"/>
      </w:pPr>
      <w:r>
        <w:rPr>
          <w:rFonts w:ascii="Times New Roman" w:cs="Times New Roman" w:eastAsia="Times New Roman" w:hAnsi="Times New Roman"/>
          <w:i/>
          <w:iCs/>
          <w:sz w:val="24"/>
          <w:szCs w:val="24"/>
        </w:rPr>
        <w:t xml:space="preserve">Esse desenho segue o princípio de que, numa ferramenta de segurança, falhar de forma silenciosa é o pior cenário possível — a prioridade do grupo foi desenhar um sistema que avisa cedo e degrada aos poucos, em vez de um sistema que desliga de uma vez.</w:t>
      </w:r>
    </w:p>
    <w:p>
      <w:pPr>
        <w:pStyle w:val="Heading1"/>
        <w:spacing w:after="240" w:before="480" w:line="360"/>
        <w:jc w:val="left"/>
      </w:pPr>
      <w:bookmarkStart w:name="_Toc30" w:id="30"/>
      <w:r>
        <w:rPr>
          <w:rFonts w:ascii="Times New Roman" w:cs="Times New Roman" w:eastAsia="Times New Roman" w:hAnsi="Times New Roman"/>
          <w:b/>
          <w:bCs/>
          <w:sz w:val="24"/>
          <w:szCs w:val="24"/>
        </w:rPr>
        <w:t xml:space="preserve">7 VISÃO DE EVOLUÇÃO E TRABALHOS FUTUROS</w:t>
      </w:r>
      <w:bookmarkEnd w:id="30"/>
    </w:p>
    <w:p>
      <w:pPr>
        <w:spacing w:after="0" w:line="360" w:lineRule="auto"/>
        <w:ind w:firstLine="709"/>
        <w:jc w:val="both"/>
      </w:pPr>
      <w:r>
        <w:rPr>
          <w:rFonts w:ascii="Times New Roman" w:cs="Times New Roman" w:eastAsia="Times New Roman" w:hAnsi="Times New Roman"/>
          <w:sz w:val="24"/>
          <w:szCs w:val="24"/>
        </w:rPr>
        <w:t xml:space="preserve">Por se tratar de um projeto que o grupo pretende conduzir como uma startup, e não apenas como um exercício acadêmico encerrado na entrega do TCC, esta seção documenta a visão de evolução do produto para além do escopo validado nas seções anteriores — tanto para situar a banca sobre os limites conscientes do que foi entregue nesta fase, quanto para registrar formalmente o planejamento de continuidade do projeto.</w:t>
      </w:r>
    </w:p>
    <w:p>
      <w:pPr>
        <w:pStyle w:val="Heading2"/>
        <w:spacing w:after="200" w:before="320" w:line="360"/>
        <w:jc w:val="left"/>
      </w:pPr>
      <w:bookmarkStart w:name="_Toc31" w:id="31"/>
      <w:r>
        <w:rPr>
          <w:rFonts w:ascii="Times New Roman" w:cs="Times New Roman" w:eastAsia="Times New Roman" w:hAnsi="Times New Roman"/>
          <w:b/>
          <w:bCs/>
          <w:sz w:val="24"/>
          <w:szCs w:val="24"/>
        </w:rPr>
        <w:t xml:space="preserve">7.1 Evolução planejada do produto</w:t>
      </w:r>
      <w:bookmarkEnd w:id="31"/>
    </w:p>
    <w:p>
      <w:pPr>
        <w:spacing w:after="0" w:line="360" w:lineRule="auto"/>
        <w:ind w:firstLine="709"/>
        <w:jc w:val="both"/>
      </w:pPr>
      <w:r>
        <w:rPr>
          <w:rFonts w:ascii="Times New Roman" w:cs="Times New Roman" w:eastAsia="Times New Roman" w:hAnsi="Times New Roman"/>
          <w:sz w:val="24"/>
          <w:szCs w:val="24"/>
        </w:rPr>
        <w:t xml:space="preserve">O desenvolvimento do produto é organizado em fases incrementais, de forma que cada fase entregue valor de forma independente, sem depender da conclusão das fases seguintes: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Fase 1 (atual): motor de análise contínua de Pull Requests e gates de pré-deploy, sob o modelo de custo BYOK e a estrutura de planos descrita na seção 6;</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Fase 2: formalização completa da ingestão de documentos de regras de negócio, incluindo versionamento das regras e integração com ferramentas de gestão de requisitos já usadas pelas empresas clientes;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Fase 3: retomada do escopo de plugin de IDE com análise em tempo real, hoje deliberadamente fora do escopo do projeto por decisão do grupo, registrada ao longo do desenvolvimento;</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Fase 4: implementação completa da arquitetura híbrida ShielDepy — motor determinístico de grafos (Tree-sitter) combinado a agentes de simulação de falhas via LangGraph, cuja arquitetura e pipeline já estão formalmente especificados na seção 4 deste trabalho. Diferentemente das demais fases, essa direção deixou de ser apenas uma hipótese de trabalho futuro durante o desenvolvimento do projeto; sua implementação completa segue tratada como um marco de engenharia posterior ao MVP descrito na Fase 1, dado o escopo envolvido — parsers multi-linguagem, orquestração de múltiplos agentes e geração dinâmica de testes de carga.</w:t>
      </w:r>
    </w:p>
    <w:p>
      <w:pPr>
        <w:pStyle w:val="Heading2"/>
        <w:spacing w:after="200" w:before="320" w:line="360"/>
        <w:jc w:val="left"/>
      </w:pPr>
      <w:bookmarkStart w:name="_Toc32" w:id="32"/>
      <w:r>
        <w:rPr>
          <w:rFonts w:ascii="Times New Roman" w:cs="Times New Roman" w:eastAsia="Times New Roman" w:hAnsi="Times New Roman"/>
          <w:b/>
          <w:bCs/>
          <w:sz w:val="24"/>
          <w:szCs w:val="24"/>
        </w:rPr>
        <w:t xml:space="preserve">7.2 Visão de longo prazo</w:t>
      </w:r>
      <w:bookmarkEnd w:id="32"/>
    </w:p>
    <w:p>
      <w:pPr>
        <w:spacing w:after="0" w:line="360" w:lineRule="auto"/>
        <w:ind w:firstLine="709"/>
        <w:jc w:val="both"/>
      </w:pPr>
      <w:r>
        <w:rPr>
          <w:rFonts w:ascii="Times New Roman" w:cs="Times New Roman" w:eastAsia="Times New Roman" w:hAnsi="Times New Roman"/>
          <w:sz w:val="24"/>
          <w:szCs w:val="24"/>
        </w:rPr>
        <w:t xml:space="preserve">Para além das fases de produto, o grupo projeta uma trajetória de negócio baseada em três movimentos: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Consolidação do modelo de instância dedicada por cliente, inspirado na lógica de um ambiente de trabalho contratado, à semelhança do modelo adotado pela Salesforce, à medida que o número de clientes-piloto cresça para além dos projetos pessoais descritos na metodologia;</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Uso do histórico de dados coletados — a correlação entre risk score e incidentes reais pós-deploy, descrita na seção 5.3 — como ativo competitivo crescente ao longo do tempo: quanto mais dados históricos acumulados, mais precisa a calibração da IA, criando uma vantagem que se fortalece com o uso, não apenas com o lançamento inicial do produto;</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Expansão gradual de escopo — novas linguagens de programação, novos tipos de regra de negócio e, eventualmente, os gates de ambiente completos (Dev, HML e Produção) descritos na arquitetura do projeto, hoje parcialmente implementados.</w:t>
      </w:r>
    </w:p>
    <w:p>
      <w:pPr>
        <w:spacing w:after="0" w:line="360" w:lineRule="auto"/>
        <w:ind w:firstLine="709"/>
        <w:jc w:val="both"/>
      </w:pPr>
      <w:r>
        <w:rPr>
          <w:rFonts w:ascii="Times New Roman" w:cs="Times New Roman" w:eastAsia="Times New Roman" w:hAnsi="Times New Roman"/>
          <w:sz w:val="24"/>
          <w:szCs w:val="24"/>
        </w:rPr>
        <w:t xml:space="preserve">Essa visão de evolução não compromete os resultados já alcançados nas seções anteriores — ela documenta, de forma transparente perante a banca, a diferença entre o que foi efetivamente desenvolvido e validado neste trabalho e o que permanece como direção de pesquisa e de produto para as próximas fases do projeto.</w:t>
      </w:r>
    </w:p>
    <w:p>
      <w:pPr>
        <w:pStyle w:val="Heading1"/>
        <w:spacing w:after="240" w:before="480" w:line="360"/>
        <w:jc w:val="left"/>
      </w:pPr>
      <w:bookmarkStart w:name="_Toc33" w:id="33"/>
      <w:r>
        <w:rPr>
          <w:rFonts w:ascii="Times New Roman" w:cs="Times New Roman" w:eastAsia="Times New Roman" w:hAnsi="Times New Roman"/>
          <w:b/>
          <w:bCs/>
          <w:sz w:val="24"/>
          <w:szCs w:val="24"/>
        </w:rPr>
        <w:t xml:space="preserve">REFERÊNCIAS</w:t>
      </w:r>
      <w:bookmarkEnd w:id="33"/>
    </w:p>
    <w:p>
      <w:pPr>
        <w:spacing w:after="240" w:line="240" w:lineRule="auto"/>
        <w:jc w:val="left"/>
      </w:pPr>
      <w:r>
        <w:rPr>
          <w:rFonts w:ascii="Times New Roman" w:cs="Times New Roman" w:eastAsia="Times New Roman" w:hAnsi="Times New Roman"/>
          <w:sz w:val="24"/>
          <w:szCs w:val="24"/>
        </w:rPr>
        <w:t xml:space="preserve">APICOSTCALC. CodeRabbit vs Greptile vs Qodo Cost Calculator. 2026. Disponível em: https://apicostcalc.com/it/coderabbit-vs-greptile-vs-qodo-cost-calculator.html. Acesso em: 25 set. 2026.</w:t>
      </w:r>
    </w:p>
    <w:p>
      <w:pPr>
        <w:spacing w:after="240" w:line="240" w:lineRule="auto"/>
        <w:jc w:val="left"/>
      </w:pPr>
      <w:r>
        <w:rPr>
          <w:rFonts w:ascii="Times New Roman" w:cs="Times New Roman" w:eastAsia="Times New Roman" w:hAnsi="Times New Roman"/>
          <w:sz w:val="24"/>
          <w:szCs w:val="24"/>
        </w:rPr>
        <w:t xml:space="preserve">BASIRI, A. et al. Chaos Engineering. IEEE Software, v. 33, n. 3, p. 35-41, maio/jun. 2016.</w:t>
      </w:r>
    </w:p>
    <w:p>
      <w:pPr>
        <w:spacing w:after="240" w:line="240" w:lineRule="auto"/>
        <w:jc w:val="left"/>
      </w:pPr>
      <w:r>
        <w:rPr>
          <w:rFonts w:ascii="Times New Roman" w:cs="Times New Roman" w:eastAsia="Times New Roman" w:hAnsi="Times New Roman"/>
          <w:sz w:val="24"/>
          <w:szCs w:val="24"/>
        </w:rPr>
        <w:t xml:space="preserve">BETTERQA. Cost of fixing bugs by SDLC stage: why production is 30x. 2026. Disponível em: https://betterqa.co/bug-fixing-costs-throughout-sdlc/. Acesso em: 25 set. 2026.</w:t>
      </w:r>
    </w:p>
    <w:p>
      <w:pPr>
        <w:spacing w:after="240" w:line="240" w:lineRule="auto"/>
        <w:jc w:val="left"/>
      </w:pPr>
      <w:r>
        <w:rPr>
          <w:rFonts w:ascii="Times New Roman" w:cs="Times New Roman" w:eastAsia="Times New Roman" w:hAnsi="Times New Roman"/>
          <w:sz w:val="24"/>
          <w:szCs w:val="24"/>
        </w:rPr>
        <w:t xml:space="preserve">BOHNER, S. A.; ARNOLD, R. S. Software Change Impact Analysis. Los Alamitos: IEEE Computer Society Press, 1996.</w:t>
      </w:r>
    </w:p>
    <w:p>
      <w:pPr>
        <w:spacing w:after="240" w:line="240" w:lineRule="auto"/>
        <w:jc w:val="left"/>
      </w:pPr>
      <w:r>
        <w:rPr>
          <w:rFonts w:ascii="Times New Roman" w:cs="Times New Roman" w:eastAsia="Times New Roman" w:hAnsi="Times New Roman"/>
          <w:sz w:val="24"/>
          <w:szCs w:val="24"/>
        </w:rPr>
        <w:t xml:space="preserve">CIHAN, U. et al. Evaluating Large Language Models for Code Review. arXiv preprint arXiv:2505.20206, 2025. Disponível em: https://arxiv.org/abs/2505.20206. Acesso em: 25 set. 2026.</w:t>
      </w:r>
    </w:p>
    <w:p>
      <w:pPr>
        <w:spacing w:after="240" w:line="240" w:lineRule="auto"/>
        <w:jc w:val="left"/>
      </w:pPr>
      <w:r>
        <w:rPr>
          <w:rFonts w:ascii="Times New Roman" w:cs="Times New Roman" w:eastAsia="Times New Roman" w:hAnsi="Times New Roman"/>
          <w:sz w:val="24"/>
          <w:szCs w:val="24"/>
        </w:rPr>
        <w:t xml:space="preserve">CLOUDQA. How Much Do Software Bugs Cost? 2025 Report. 2026. Disponível em: https://cloudqa.io/how-much-do-software-bugs-cost-2025-report/. Acesso em: 25 set. 2026.</w:t>
      </w:r>
    </w:p>
    <w:p>
      <w:pPr>
        <w:spacing w:after="240" w:line="240" w:lineRule="auto"/>
        <w:jc w:val="left"/>
      </w:pPr>
      <w:r>
        <w:rPr>
          <w:rFonts w:ascii="Times New Roman" w:cs="Times New Roman" w:eastAsia="Times New Roman" w:hAnsi="Times New Roman"/>
          <w:sz w:val="24"/>
          <w:szCs w:val="24"/>
        </w:rPr>
        <w:t xml:space="preserve">COLLANTE, A. et al. The Impact of Large Language Models (LLMs) on Code Review Process. arXiv preprint arXiv:2508.11034, 2025. Disponível em: https://arxiv.org/pdf/2508.11034. Acesso em: 25 set. 2026.</w:t>
      </w:r>
    </w:p>
    <w:p>
      <w:pPr>
        <w:spacing w:after="240" w:line="240" w:lineRule="auto"/>
        <w:jc w:val="left"/>
      </w:pPr>
      <w:r>
        <w:rPr>
          <w:rFonts w:ascii="Times New Roman" w:cs="Times New Roman" w:eastAsia="Times New Roman" w:hAnsi="Times New Roman"/>
          <w:sz w:val="24"/>
          <w:szCs w:val="24"/>
        </w:rPr>
        <w:t xml:space="preserve">COSTBENCH. CodeRabbit vs Qodo (formerly Codium AI) Pricing (2026). 2026. Disponível em: https://costbench.com/compare/coderabbit-vs-qodo/. Acesso em: 25 set. 2026.</w:t>
      </w:r>
    </w:p>
    <w:p>
      <w:pPr>
        <w:spacing w:after="240" w:line="240" w:lineRule="auto"/>
        <w:jc w:val="left"/>
      </w:pPr>
      <w:r>
        <w:rPr>
          <w:rFonts w:ascii="Times New Roman" w:cs="Times New Roman" w:eastAsia="Times New Roman" w:hAnsi="Times New Roman"/>
          <w:sz w:val="24"/>
          <w:szCs w:val="24"/>
        </w:rPr>
        <w:t xml:space="preserve">DEV COMMUNITY. Most Effective Approaches for Debugging Applications. 2024. Disponível em: https://dev.to/devto-articles/most-effective-approaches-for-debugging-applications-5hd. Acesso em: 25 set. 2026.</w:t>
      </w:r>
    </w:p>
    <w:p>
      <w:pPr>
        <w:spacing w:after="240" w:line="240" w:lineRule="auto"/>
        <w:jc w:val="left"/>
      </w:pPr>
      <w:r>
        <w:rPr>
          <w:rFonts w:ascii="Times New Roman" w:cs="Times New Roman" w:eastAsia="Times New Roman" w:hAnsi="Times New Roman"/>
          <w:sz w:val="24"/>
          <w:szCs w:val="24"/>
        </w:rPr>
        <w:t xml:space="preserve">DEV COMMUNITY. Dev world, unplugged: 65.000+ developers' survey results on code, AI, and burnout in 2024. 2025. Disponível em: https://dev.to/dev_tips/dev-world-unplugged-65000-developers-survey-results-on-code-ai-and-burnout-in-2024-and-why-3nde. Acesso em: 25 set. 2026.</w:t>
      </w:r>
    </w:p>
    <w:p>
      <w:pPr>
        <w:spacing w:after="240" w:line="240" w:lineRule="auto"/>
        <w:jc w:val="left"/>
      </w:pPr>
      <w:r>
        <w:rPr>
          <w:rFonts w:ascii="Times New Roman" w:cs="Times New Roman" w:eastAsia="Times New Roman" w:hAnsi="Times New Roman"/>
          <w:sz w:val="24"/>
          <w:szCs w:val="24"/>
        </w:rPr>
        <w:t xml:space="preserve">DEVTOOLLAB. Best CodeRabbit Alternatives 2026: AI Code Review Tools Compared. 2026. Disponível em: https://devtoollab.com/blog/coderabbit-alternatives. Acesso em: 25 set. 2026.</w:t>
      </w:r>
    </w:p>
    <w:p>
      <w:pPr>
        <w:spacing w:after="240" w:line="240" w:lineRule="auto"/>
        <w:jc w:val="left"/>
      </w:pPr>
      <w:r>
        <w:rPr>
          <w:rFonts w:ascii="Times New Roman" w:cs="Times New Roman" w:eastAsia="Times New Roman" w:hAnsi="Times New Roman"/>
          <w:sz w:val="24"/>
          <w:szCs w:val="24"/>
        </w:rPr>
        <w:t xml:space="preserve">FULL SCALE. Developer Burnout: 7 Warning Signs Your Best Engineers Are About to Quit. 2026. Disponível em: https://fullscale.io/blog/developer-burnout/. Acesso em: 25 set. 2026.</w:t>
      </w:r>
    </w:p>
    <w:p>
      <w:pPr>
        <w:spacing w:after="240" w:line="240" w:lineRule="auto"/>
        <w:jc w:val="left"/>
      </w:pPr>
      <w:r>
        <w:rPr>
          <w:rFonts w:ascii="Times New Roman" w:cs="Times New Roman" w:eastAsia="Times New Roman" w:hAnsi="Times New Roman"/>
          <w:sz w:val="24"/>
          <w:szCs w:val="24"/>
        </w:rPr>
        <w:t xml:space="preserve">GETDX. DORA metrics: the complete guide to measuring DevOps performance in the AI era. 2026. Disponível em: https://getdx.com/blog/dora-metrics/. Acesso em: 25 set. 2026.</w:t>
      </w:r>
    </w:p>
    <w:p>
      <w:pPr>
        <w:spacing w:after="240" w:line="240" w:lineRule="auto"/>
        <w:jc w:val="left"/>
      </w:pPr>
      <w:r>
        <w:rPr>
          <w:rFonts w:ascii="Times New Roman" w:cs="Times New Roman" w:eastAsia="Times New Roman" w:hAnsi="Times New Roman"/>
          <w:sz w:val="24"/>
          <w:szCs w:val="24"/>
        </w:rPr>
        <w:t xml:space="preserve">GETOPTIMAL. 9 Best AI Code Review Tools 2026: Ranked &amp; Compared. 2026. Disponível em: https://getoptimal.ai/blog/best-ai-code-review-tools. Acesso em: 25 set. 2026.</w:t>
      </w:r>
    </w:p>
    <w:p>
      <w:pPr>
        <w:spacing w:after="240" w:line="240" w:lineRule="auto"/>
        <w:jc w:val="left"/>
      </w:pPr>
      <w:r>
        <w:rPr>
          <w:rFonts w:ascii="Times New Roman" w:cs="Times New Roman" w:eastAsia="Times New Roman" w:hAnsi="Times New Roman"/>
          <w:sz w:val="24"/>
          <w:szCs w:val="24"/>
        </w:rPr>
        <w:t xml:space="preserve">GÖÇMEN, I. S.; CEZAYIR, A. S.; TÜZÜN, E. Enhanced code reviews using pull request based change impact analysis. Empirical Software Engineering, v. 30, n. 3, art. 64, 2025.</w:t>
      </w:r>
    </w:p>
    <w:p>
      <w:pPr>
        <w:spacing w:after="240" w:line="240" w:lineRule="auto"/>
        <w:jc w:val="left"/>
      </w:pPr>
      <w:r>
        <w:rPr>
          <w:rFonts w:ascii="Times New Roman" w:cs="Times New Roman" w:eastAsia="Times New Roman" w:hAnsi="Times New Roman"/>
          <w:sz w:val="24"/>
          <w:szCs w:val="24"/>
        </w:rPr>
        <w:t xml:space="preserve">HALL, J. How expensive is a bug?. jhall.io, 2025. Disponível em: https://dev.to/jhall/how-expensive-is-a-bug-1h83. Acesso em: 25 set. 2026.</w:t>
      </w:r>
    </w:p>
    <w:p>
      <w:pPr>
        <w:spacing w:after="240" w:line="240" w:lineRule="auto"/>
        <w:jc w:val="left"/>
      </w:pPr>
      <w:r>
        <w:rPr>
          <w:rFonts w:ascii="Times New Roman" w:cs="Times New Roman" w:eastAsia="Times New Roman" w:hAnsi="Times New Roman"/>
          <w:sz w:val="24"/>
          <w:szCs w:val="24"/>
        </w:rPr>
        <w:t xml:space="preserve">LEVELOP. Greptile vs CodeRabbit vs Qodo: AI Code Review 2026. 2026. Disponível em: https://levelop.dev/blog/best-ai-code-review-tools-2026-coderabbit-greptile-qodo-compared. Acesso em: 25 set. 2026.</w:t>
      </w:r>
    </w:p>
    <w:p>
      <w:pPr>
        <w:spacing w:after="240" w:line="240" w:lineRule="auto"/>
        <w:jc w:val="left"/>
      </w:pPr>
      <w:r>
        <w:rPr>
          <w:rFonts w:ascii="Times New Roman" w:cs="Times New Roman" w:eastAsia="Times New Roman" w:hAnsi="Times New Roman"/>
          <w:sz w:val="24"/>
          <w:szCs w:val="24"/>
        </w:rPr>
        <w:t xml:space="preserve">MORPHLLM. GitHub AI Code Review: 6 Tools Tested on Real PRs (2026). 2026. Disponível em: https://www.morphllm.com/github-ai-code-review. Acesso em: 25 set. 2026.</w:t>
      </w:r>
    </w:p>
    <w:p>
      <w:pPr>
        <w:spacing w:after="240" w:line="240" w:lineRule="auto"/>
        <w:jc w:val="left"/>
      </w:pPr>
      <w:r>
        <w:rPr>
          <w:rFonts w:ascii="Times New Roman" w:cs="Times New Roman" w:eastAsia="Times New Roman" w:hAnsi="Times New Roman"/>
          <w:sz w:val="24"/>
          <w:szCs w:val="24"/>
        </w:rPr>
        <w:t xml:space="preserve">MULTITUDES. DORA Metrics: A Full Guide to Elite Performance Engineering. 2025. Disponível em: https://www.multitudes.com/blog/dora-metrics. Acesso em: 25 set. 2026.</w:t>
      </w:r>
    </w:p>
    <w:p>
      <w:pPr>
        <w:spacing w:after="240" w:line="240" w:lineRule="auto"/>
        <w:jc w:val="left"/>
      </w:pPr>
      <w:r>
        <w:rPr>
          <w:rFonts w:ascii="Times New Roman" w:cs="Times New Roman" w:eastAsia="Times New Roman" w:hAnsi="Times New Roman"/>
          <w:sz w:val="24"/>
          <w:szCs w:val="24"/>
        </w:rPr>
        <w:t xml:space="preserve">PRICEPERTOKEN. Cline Pricing 2026. 2026. Disponível em: https://pricepertoken.com/coding-assistants/cline. Acesso em: 25 set. 2026.</w:t>
      </w:r>
    </w:p>
    <w:p>
      <w:pPr>
        <w:spacing w:after="240" w:line="240" w:lineRule="auto"/>
        <w:jc w:val="left"/>
      </w:pPr>
      <w:r>
        <w:rPr>
          <w:rFonts w:ascii="Times New Roman" w:cs="Times New Roman" w:eastAsia="Times New Roman" w:hAnsi="Times New Roman"/>
          <w:sz w:val="24"/>
          <w:szCs w:val="24"/>
        </w:rPr>
        <w:t xml:space="preserve">ROCKSTAR DEVELOPER UNIVERSITY. Developer Burnout Statistics 2026: 30+ Data Points. 2026. Disponível em: https://rockstardeveloperuniversity.com/developer-burnout-statistics/. Acesso em: 25 set. 2026.</w:t>
      </w:r>
    </w:p>
    <w:p>
      <w:pPr>
        <w:spacing w:after="240" w:line="240" w:lineRule="auto"/>
        <w:jc w:val="left"/>
      </w:pPr>
      <w:r>
        <w:rPr>
          <w:rFonts w:ascii="Times New Roman" w:cs="Times New Roman" w:eastAsia="Times New Roman" w:hAnsi="Times New Roman"/>
          <w:sz w:val="24"/>
          <w:szCs w:val="24"/>
        </w:rPr>
        <w:t xml:space="preserve">STORK.AI. Best AI Code Review Tool 2026: CodeRabbit vs Greptile vs Qodo vs More. 2026. Disponível em: https://www.stork.ai/blog/best-ai-code-review-tools-2026. Acesso em: 25 set. 2026.</w:t>
      </w:r>
    </w:p>
    <w:p>
      <w:pPr>
        <w:spacing w:after="240" w:line="240" w:lineRule="auto"/>
        <w:jc w:val="left"/>
      </w:pPr>
      <w:r>
        <w:rPr>
          <w:rFonts w:ascii="Times New Roman" w:cs="Times New Roman" w:eastAsia="Times New Roman" w:hAnsi="Times New Roman"/>
          <w:sz w:val="24"/>
          <w:szCs w:val="24"/>
        </w:rPr>
        <w:t xml:space="preserve">STRIPE. The Developer Coefficient. São Francisco: Stripe, 2018. Disponível em: https://stripe.com/files/reports/the-developer-coefficient.pdf. Acesso em: 25 set. 2026.</w:t>
      </w:r>
    </w:p>
    <w:p>
      <w:pPr>
        <w:spacing w:after="240" w:line="240" w:lineRule="auto"/>
        <w:jc w:val="left"/>
      </w:pPr>
      <w:r>
        <w:rPr>
          <w:rFonts w:ascii="Times New Roman" w:cs="Times New Roman" w:eastAsia="Times New Roman" w:hAnsi="Times New Roman"/>
          <w:sz w:val="24"/>
          <w:szCs w:val="24"/>
        </w:rPr>
        <w:t xml:space="preserve">TECH INSIDER. CodeRabbit vs Greptile vs Qodo: AI Code Review Tools 2026. 2026. Disponível em: https://tech-insider.org/coderabbit-vs-greptile-vs-qodo-2026/. Acesso em: 25 set. 2026.</w:t>
      </w:r>
    </w:p>
    <w:p>
      <w:pPr>
        <w:spacing w:after="240" w:line="240" w:lineRule="auto"/>
        <w:jc w:val="left"/>
      </w:pPr>
      <w:r>
        <w:rPr>
          <w:rFonts w:ascii="Times New Roman" w:cs="Times New Roman" w:eastAsia="Times New Roman" w:hAnsi="Times New Roman"/>
          <w:sz w:val="24"/>
          <w:szCs w:val="24"/>
        </w:rPr>
        <w:t xml:space="preserve">TOOLRADAR. Cheapest AI Coding Assistants in 2026. 2026. Disponível em: https://toolradar.com/guides/cheapest-ai-coding-assistants. Acesso em: 25 set. 2026.</w:t>
      </w:r>
    </w:p>
    <w:p>
      <w:pPr>
        <w:spacing w:after="240" w:line="240" w:lineRule="auto"/>
        <w:jc w:val="left"/>
      </w:pPr>
      <w:r>
        <w:rPr>
          <w:rFonts w:ascii="Times New Roman" w:cs="Times New Roman" w:eastAsia="Times New Roman" w:hAnsi="Times New Roman"/>
          <w:sz w:val="24"/>
          <w:szCs w:val="24"/>
        </w:rPr>
        <w:t xml:space="preserve">YAMAGUCHI, F. et al. Modeling and Discovering Vulnerabilities with Code Property Graphs. In: IEEE SYMPOSIUM ON SECURITY AND PRIVACY, 2014, Berkeley. Anais [...]. Berkeley: IEEE, 2014.</w:t>
      </w:r>
    </w:p>
    <w:sectPr>
      <w:headerReference w:type="default" r:id="rId6"/>
      <w:pgSz w:w="11906" w:h="16838" w:orient="portrait"/>
      <w:pgMar w:top="1701"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480"/>
    </w:pPr>
    <w:rPr>
      <w:rFonts w:ascii="Times New Roman" w:cs="Times New Roman" w:eastAsia="Times New Roman" w:hAnsi="Times New Roman"/>
      <w:b/>
      <w:bCs/>
      <w:sz w:val="24"/>
      <w:szCs w:val="24"/>
    </w:rPr>
  </w:style>
  <w:style w:type="paragraph" w:styleId="Heading2">
    <w:name w:val="Heading 2"/>
    <w:basedOn w:val="Normal"/>
    <w:next w:val="Normal"/>
    <w:pPr>
      <w:spacing w:after="200" w:before="320"/>
    </w:pPr>
    <w:rPr>
      <w:rFonts w:ascii="Times New Roman" w:cs="Times New Roman" w:eastAsia="Times New Roman" w:hAnsi="Times New Roman"/>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2026-10-16T00:34:40.173Z</dcterms:created>
  <dcterms:modified xsi:type="dcterms:W3CDTF">2026-10-16T00:34:40.179Z</dcterms:modified>
</cp:coreProperties>
</file>

<file path=docProps/custom.xml><?xml version="1.0" encoding="utf-8"?>
<Properties xmlns="http://schemas.openxmlformats.org/officeDocument/2006/custom-properties" xmlns:vt="http://schemas.openxmlformats.org/officeDocument/2006/docPropsVTypes"/>
</file>