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ENTREGA 1 – ANÁLISE DESCRITIVA DE DADOS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Variáveis: Tipos e Subtipos.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Alunos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Quantitativo/Discreto ou Qualitativo/Nominal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Qualitativo/Nominal ou Quantitativo/Discreto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Universidades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 Quantitativo/Discreto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Matrícula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 Quantitativo/Discreto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"/>
        </w:numPr>
        <w:spacing w:before="360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8xwbz7w8rxng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Medidas de Tendência Central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8 universidades parceiras, cuja quantidade de cursos é:</w:t>
        <w:br w:type="textWrapping"/>
        <w:t xml:space="preserve"> 10,0; 14,0; 16,0; 19,0; 21,0; 25,0; 27,0; 33,0;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 = (19,0 + 21,0)/2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20,0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Universidades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A:10 ; B:14 ; C:16 ; D:19 ; E:21 ; F:25 ; G:27 ; H:33.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Média de cursos: (A + B + C + D + E + F + G + H) / 8 = 165 / 8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20,63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R: Média de aproximadamente 21 cursos por faculdade.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Alunos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A:1.050 ; B:1.250 ; C:1.350 ; D:1.500 ; E:1.650 ; F:1.750 ; G:1.950; H:2.150.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 = (1.500 + 1.650)/2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1.575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R: As universidades em média possuem 1.575 alunos.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95° Percentil Cursos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P95 = 95/100 × (8 + 1)</w:t>
        <w:br w:type="textWrapping"/>
        <w:t xml:space="preserve"> P95 = 0,95 × 9 = 8,55°</w:t>
        <w:br w:type="textWrapping"/>
        <w:t xml:space="preserve"> P95 = 33 – R: 95% das universidades possuem até aproximadamente 33 cursos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311400"/>
            <wp:effectExtent b="0" l="0" r="0" t="0"/>
            <wp:docPr id="15976311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349500"/>
            <wp:effectExtent b="0" l="0" r="0" t="0"/>
            <wp:docPr id="159763116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298700"/>
            <wp:effectExtent b="0" l="0" r="0" t="0"/>
            <wp:docPr id="15976311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Gráfico de Barras Universidade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298700"/>
            <wp:effectExtent b="0" l="0" r="0" t="0"/>
            <wp:docPr id="15976311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D701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D701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D701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D701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D701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D701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D701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D701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D701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D701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D701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D701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D701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D701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D701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D701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D701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D701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D701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D701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D701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I50XE6Hlnv807jlC33Sem0YAA==">CgMxLjAyDmguOHh3Yno3dzhyeG5nOAByITFHbEhMTk16SmRkV1dFVlBKRkViWEZDNGlTMmkzdkhTcA==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2026-09-22T14:57:00Z</dcterms:created>
  <dc:creator>William Takeuchi</dc:creator>
</cp:coreProperties>
</file>