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Descritiva de Dados — Entrega 1</w:t>
      </w:r>
    </w:p>
    <w:p>
      <w:pPr>
        <w:pStyle w:val="Heading1"/>
      </w:pPr>
      <w:r>
        <w:t>1. Contextualização da Base de Dados</w:t>
      </w:r>
    </w:p>
    <w:p>
      <w:r>
        <w:rPr>
          <w:b w:val="0"/>
          <w:i w:val="0"/>
        </w:rPr>
        <w:t>Para a realização da análise descritiva inicial do sistema, foi construída uma base de dados simulada representando 50 alunos atendidos pela ONG Próxima Etapa. A simulação foi necessária porque o aplicativo encontra-se em fase de prototipação e testes, e visa proteger a privacidade e seguir as diretrizes da LGPD antes da entrada de usuários reais. Nenhum dado pessoal real é utilizado neste documento.</w:t>
      </w:r>
    </w:p>
    <w:p>
      <w:r>
        <w:rPr>
          <w:b w:val="0"/>
          <w:i w:val="0"/>
        </w:rPr>
        <w:t>As variáveis analisadas, com sua classificação estatística, são apresentadas na tabela a seguir.</w:t>
      </w:r>
    </w:p>
    <w:p>
      <w:pPr>
        <w:pStyle w:val="Heading2"/>
      </w:pPr>
      <w:r>
        <w:t>1.1 Descrição das Variáveis (nome, tipo e subtipo)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Variável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Subtipo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ID do Aluno</w:t>
            </w:r>
          </w:p>
        </w:tc>
        <w:tc>
          <w:tcPr>
            <w:tcW w:type="dxa" w:w="2160"/>
          </w:tcPr>
          <w:p>
            <w:r>
              <w:t>Qualitativa</w:t>
            </w:r>
          </w:p>
        </w:tc>
        <w:tc>
          <w:tcPr>
            <w:tcW w:type="dxa" w:w="2160"/>
          </w:tcPr>
          <w:p>
            <w:r>
              <w:t>Nominal</w:t>
            </w:r>
          </w:p>
        </w:tc>
        <w:tc>
          <w:tcPr>
            <w:tcW w:type="dxa" w:w="2160"/>
          </w:tcPr>
          <w:p>
            <w:r>
              <w:t>Identificador único, sem ordem ou relação numérica entre os valores.</w:t>
            </w:r>
          </w:p>
        </w:tc>
      </w:tr>
      <w:tr>
        <w:tc>
          <w:tcPr>
            <w:tcW w:type="dxa" w:w="2160"/>
          </w:tcPr>
          <w:p>
            <w:r>
              <w:t>Idade (anos)</w:t>
            </w:r>
          </w:p>
        </w:tc>
        <w:tc>
          <w:tcPr>
            <w:tcW w:type="dxa" w:w="2160"/>
          </w:tcPr>
          <w:p>
            <w:r>
              <w:t>Quantitativa</w:t>
            </w:r>
          </w:p>
        </w:tc>
        <w:tc>
          <w:tcPr>
            <w:tcW w:type="dxa" w:w="2160"/>
          </w:tcPr>
          <w:p>
            <w:r>
              <w:t>Discreta</w:t>
            </w:r>
          </w:p>
        </w:tc>
        <w:tc>
          <w:tcPr>
            <w:tcW w:type="dxa" w:w="2160"/>
          </w:tcPr>
          <w:p>
            <w:r>
              <w:t>Assume valores inteiros contáveis (anos completos); não admite fração significativa.</w:t>
            </w:r>
          </w:p>
        </w:tc>
      </w:tr>
      <w:tr>
        <w:tc>
          <w:tcPr>
            <w:tcW w:type="dxa" w:w="2160"/>
          </w:tcPr>
          <w:p>
            <w:r>
              <w:t>Carga Horária Acumulada (h)</w:t>
            </w:r>
          </w:p>
        </w:tc>
        <w:tc>
          <w:tcPr>
            <w:tcW w:type="dxa" w:w="2160"/>
          </w:tcPr>
          <w:p>
            <w:r>
              <w:t>Quantitativa</w:t>
            </w:r>
          </w:p>
        </w:tc>
        <w:tc>
          <w:tcPr>
            <w:tcW w:type="dxa" w:w="2160"/>
          </w:tcPr>
          <w:p>
            <w:r>
              <w:t>Contínua</w:t>
            </w:r>
          </w:p>
        </w:tc>
        <w:tc>
          <w:tcPr>
            <w:tcW w:type="dxa" w:w="2160"/>
          </w:tcPr>
          <w:p>
            <w:r>
              <w:t>Assume valores numéricos que podem variar continuamente conforme os cursos concluídos.</w:t>
            </w:r>
          </w:p>
        </w:tc>
      </w:tr>
      <w:tr>
        <w:tc>
          <w:tcPr>
            <w:tcW w:type="dxa" w:w="2160"/>
          </w:tcPr>
          <w:p>
            <w:r>
              <w:t>Taxa de Frequência (%)</w:t>
            </w:r>
          </w:p>
        </w:tc>
        <w:tc>
          <w:tcPr>
            <w:tcW w:type="dxa" w:w="2160"/>
          </w:tcPr>
          <w:p>
            <w:r>
              <w:t>Quantitativa</w:t>
            </w:r>
          </w:p>
        </w:tc>
        <w:tc>
          <w:tcPr>
            <w:tcW w:type="dxa" w:w="2160"/>
          </w:tcPr>
          <w:p>
            <w:r>
              <w:t>Contínua</w:t>
            </w:r>
          </w:p>
        </w:tc>
        <w:tc>
          <w:tcPr>
            <w:tcW w:type="dxa" w:w="2160"/>
          </w:tcPr>
          <w:p>
            <w:r>
              <w:t>Percentual de presença do aluno nos encontros; varia continuamente entre 0% e 100%.</w:t>
            </w:r>
          </w:p>
        </w:tc>
      </w:tr>
    </w:tbl>
    <w:p/>
    <w:p>
      <w:r>
        <w:rPr>
          <w:b w:val="0"/>
          <w:i w:val="0"/>
        </w:rPr>
        <w:t>A variável "ID do Aluno" é qualitativa nominal e serve apenas como identificador; não é utilizada nos cálculos estatísticos abaixo, que se aplicam às três variáveis quantitativas.</w:t>
      </w:r>
    </w:p>
    <w:p>
      <w:pPr>
        <w:pStyle w:val="Heading2"/>
      </w:pPr>
      <w:r>
        <w:t>1.2 Amostra dos Dados Simulados</w:t>
      </w:r>
    </w:p>
    <w:p>
      <w:r>
        <w:rPr>
          <w:b w:val="0"/>
          <w:i w:val="0"/>
        </w:rPr>
        <w:t>Abaixo, um recorte das primeiras 5 linhas da base gerada, mostrando o padrão dos registros: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do Aluno</w:t>
            </w:r>
          </w:p>
        </w:tc>
        <w:tc>
          <w:tcPr>
            <w:tcW w:type="dxa" w:w="2160"/>
          </w:tcPr>
          <w:p>
            <w:r>
              <w:t>Idade (anos)</w:t>
            </w:r>
          </w:p>
        </w:tc>
        <w:tc>
          <w:tcPr>
            <w:tcW w:type="dxa" w:w="2160"/>
          </w:tcPr>
          <w:p>
            <w:r>
              <w:t>Carga Horária (h)</w:t>
            </w:r>
          </w:p>
        </w:tc>
        <w:tc>
          <w:tcPr>
            <w:tcW w:type="dxa" w:w="2160"/>
          </w:tcPr>
          <w:p>
            <w:r>
              <w:t>Frequência (%)</w:t>
            </w:r>
          </w:p>
        </w:tc>
      </w:tr>
      <w:tr>
        <w:tc>
          <w:tcPr>
            <w:tcW w:type="dxa" w:w="2160"/>
          </w:tcPr>
          <w:p>
            <w:r>
              <w:t>#001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#002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#003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#004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#005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</w:tbl>
    <w:p>
      <w:r>
        <w:rPr>
          <w:b w:val="0"/>
          <w:i w:val="0"/>
        </w:rPr>
        <w:t>A base completa (50 registros) está disponível no arquivo "dados_simulados_alunos.csv", entregue junto a este documento na mesma pasta.</w:t>
      </w:r>
    </w:p>
    <w:p>
      <w:pPr>
        <w:pStyle w:val="Heading1"/>
      </w:pPr>
      <w:r>
        <w:t>2. Metodologia e Fórmulas Aplicadas</w:t>
      </w:r>
    </w:p>
    <w:p>
      <w:r>
        <w:rPr>
          <w:b w:val="0"/>
          <w:i w:val="0"/>
        </w:rPr>
        <w:t>Para a extração dos dados, aplicamos as seguintes medidas estatísticas sobre a população simulada (n = 50):</w:t>
      </w:r>
    </w:p>
    <w:p>
      <w:pPr>
        <w:pStyle w:val="ListBullet"/>
      </w:pPr>
      <w:r>
        <w:t>Média Amostral (x̄): valor central das variáveis quantitativas.</w:t>
      </w:r>
    </w:p>
    <w:p>
      <w:pPr>
        <w:pStyle w:val="ListBullet"/>
      </w:pPr>
      <w:r>
        <w:t>Mediana e Moda: medidas de posição/tendência central complementares à média.</w:t>
      </w:r>
    </w:p>
    <w:p>
      <w:pPr>
        <w:pStyle w:val="ListBullet"/>
      </w:pPr>
      <w:r>
        <w:t>Desvio Padrão (S): dispersão absoluta dos dados em torno da média.</w:t>
      </w:r>
    </w:p>
    <w:p>
      <w:pPr>
        <w:pStyle w:val="ListBullet"/>
      </w:pPr>
      <w:r>
        <w:t>Coeficiente de Variação (CV = S / x̄ × 100): dispersão relativa, usada para comparar a homogeneidade entre variáveis com escalas diferentes.</w:t>
      </w:r>
    </w:p>
    <w:p>
      <w:pPr>
        <w:pStyle w:val="ListBullet"/>
      </w:pPr>
      <w:r>
        <w:t>Quartis (Q1, Q3) e 95º Percentil (P95): medidas de posição que indicam, respectivamente, os 25%/75% inferiores da distribuição e o valor abaixo do qual estão 95% das observações.</w:t>
      </w:r>
    </w:p>
    <w:p>
      <w:pPr>
        <w:pStyle w:val="Heading1"/>
      </w:pPr>
      <w:r>
        <w:t>3. Resultados: Medidas de Tendência Central, Dispersão e Posição</w:t>
      </w:r>
    </w:p>
    <w:p>
      <w:pPr>
        <w:pStyle w:val="Heading2"/>
      </w:pPr>
      <w:r>
        <w:t>3.1 Variável: Idade (anos) — Quantitativa Discreta</w:t>
      </w:r>
    </w:p>
    <w:p>
      <w:pPr>
        <w:pStyle w:val="ListBullet"/>
      </w:pPr>
      <w:r>
        <w:t>Média: 17.0 anos</w:t>
      </w:r>
    </w:p>
    <w:p>
      <w:pPr>
        <w:pStyle w:val="ListBullet"/>
      </w:pPr>
      <w:r>
        <w:t>Mediana: 17.0 anos</w:t>
      </w:r>
    </w:p>
    <w:p>
      <w:pPr>
        <w:pStyle w:val="ListBullet"/>
      </w:pPr>
      <w:r>
        <w:t>Moda: 17 anos</w:t>
      </w:r>
    </w:p>
    <w:p>
      <w:pPr>
        <w:pStyle w:val="ListBullet"/>
      </w:pPr>
      <w:r>
        <w:t>Desvio Padrão: 0.8 anos</w:t>
      </w:r>
    </w:p>
    <w:p>
      <w:pPr>
        <w:pStyle w:val="ListBullet"/>
      </w:pPr>
      <w:r>
        <w:t>Coeficiente de Variação (CV): 5.0% (baixa dispersão, grupo muito homogêneo, focado no ensino médio)</w:t>
      </w:r>
    </w:p>
    <w:p>
      <w:pPr>
        <w:pStyle w:val="ListBullet"/>
      </w:pPr>
      <w:r>
        <w:t>95º Percentil (P95): 18.0 anos — 95% dos alunos têm até 18.0 anos de idade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id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Gráfico 1 — Distribuição de frequência da Idade (variável discreta): gráfico de barras por valor de idade.</w:t>
      </w:r>
    </w:p>
    <w:p>
      <w:pPr>
        <w:pStyle w:val="Heading2"/>
      </w:pPr>
      <w:r>
        <w:t>3.2 Variável: Carga Horária Acumulada (h) — Quantitativa Contínua</w:t>
      </w:r>
    </w:p>
    <w:p>
      <w:pPr>
        <w:pStyle w:val="ListBullet"/>
      </w:pPr>
      <w:r>
        <w:t>Média: 38.6 horas</w:t>
      </w:r>
    </w:p>
    <w:p>
      <w:pPr>
        <w:pStyle w:val="ListBullet"/>
      </w:pPr>
      <w:r>
        <w:t>Mediana: 40.0 horas</w:t>
      </w:r>
    </w:p>
    <w:p>
      <w:pPr>
        <w:pStyle w:val="ListBullet"/>
      </w:pPr>
      <w:r>
        <w:t>Moda: 40 horas</w:t>
      </w:r>
    </w:p>
    <w:p>
      <w:pPr>
        <w:pStyle w:val="ListBullet"/>
      </w:pPr>
      <w:r>
        <w:t>Desvio Padrão: 18.1 horas</w:t>
      </w:r>
    </w:p>
    <w:p>
      <w:pPr>
        <w:pStyle w:val="ListBullet"/>
      </w:pPr>
      <w:r>
        <w:t>Coeficiente de Variação (CV): 47.0% (dispersão alta — reflete alunos em estágios distintos da jornada, alguns em seu primeiro curso e outros já com múltiplos cursos concluídos)</w:t>
      </w:r>
    </w:p>
    <w:p>
      <w:pPr>
        <w:pStyle w:val="ListBullet"/>
      </w:pPr>
      <w:r>
        <w:t>1º e 3º Quartis: Q1 = 20.0 h | Q3 = 50.0 h</w:t>
      </w:r>
    </w:p>
    <w:p>
      <w:pPr>
        <w:pStyle w:val="ListBullet"/>
      </w:pPr>
      <w:r>
        <w:t>95º Percentil (P95): 70.0 horas — 95% dos alunos acumularam até 70.0 horas de curso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rga_hor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Gráfico 2 — Histograma da Carga Horária Acumulada (variável contínua), evidenciando a concentração de alunos entre 20h e 50h.</w:t>
      </w:r>
    </w:p>
    <w:p>
      <w:pPr>
        <w:pStyle w:val="Heading2"/>
      </w:pPr>
      <w:r>
        <w:t>3.3 Variável: Taxa de Frequência (%) — Quantitativa Contínua</w:t>
      </w:r>
    </w:p>
    <w:p>
      <w:pPr>
        <w:pStyle w:val="ListBullet"/>
      </w:pPr>
      <w:r>
        <w:t>Média: 84.5%</w:t>
      </w:r>
    </w:p>
    <w:p>
      <w:pPr>
        <w:pStyle w:val="ListBullet"/>
      </w:pPr>
      <w:r>
        <w:t>Mediana: 85.0%</w:t>
      </w:r>
    </w:p>
    <w:p>
      <w:pPr>
        <w:pStyle w:val="ListBullet"/>
      </w:pPr>
      <w:r>
        <w:t>Moda: 85%</w:t>
      </w:r>
    </w:p>
    <w:p>
      <w:pPr>
        <w:pStyle w:val="ListBullet"/>
      </w:pPr>
      <w:r>
        <w:t>Desvio Padrão: 10.7 pontos percentuais</w:t>
      </w:r>
    </w:p>
    <w:p>
      <w:pPr>
        <w:pStyle w:val="ListBullet"/>
      </w:pPr>
      <w:r>
        <w:t>Coeficiente de Variação (CV): 12.6% (dispersão moderada, mostrando que a maioria dos alunos tem bom engajamento)</w:t>
      </w:r>
    </w:p>
    <w:p>
      <w:pPr>
        <w:pStyle w:val="ListBullet"/>
      </w:pPr>
      <w:r>
        <w:t>1º e 3º Quartis: Q1 = 75.0% | Q3 = 95.0%</w:t>
      </w:r>
    </w:p>
    <w:p>
      <w:pPr>
        <w:pStyle w:val="ListBullet"/>
      </w:pPr>
      <w:r>
        <w:t>95º Percentil (P95): 100.0% — 95% dos alunos têm frequência de até 100.0%</w:t>
      </w:r>
    </w:p>
    <w:p>
      <w:r>
        <w:drawing>
          <wp:inline xmlns:a="http://schemas.openxmlformats.org/drawingml/2006/main" xmlns:pic="http://schemas.openxmlformats.org/drawingml/2006/picture">
            <wp:extent cx="3200400" cy="35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frequencia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Gráfico 3 — Boxplot da Taxa de Frequência (variável contínua), útil para visualizar dispersão, quartis e eventuais valores discrepantes (outliers).</w:t>
      </w:r>
    </w:p>
    <w:p>
      <w:pPr>
        <w:pStyle w:val="Heading1"/>
      </w:pPr>
      <w:r>
        <w:t>4. Conclusões</w:t>
      </w:r>
    </w:p>
    <w:p>
      <w:r>
        <w:rPr>
          <w:b w:val="0"/>
          <w:i w:val="0"/>
        </w:rPr>
        <w:t>A análise simulada evidencia que o público-alvo possui uma média de idade bastante centralizada nos 17 anos (P95 = 18.0 anos), com dispersão muito baixa (CV = 5.0%). Isso valida a escolha de uma interface de usuário (UI) moderna, direta e mobile-first, adequada para adolescentes concentrados no Ensino Médio.</w:t>
      </w:r>
    </w:p>
    <w:p>
      <w:r>
        <w:rPr>
          <w:b w:val="0"/>
          <w:i w:val="0"/>
        </w:rPr>
        <w:t>A Carga Horária Acumulada apresenta maior dispersão relativa (CV = 47.0%), compatível com o fato de os alunos estarem em diferentes pontos da jornada educacional — alguns iniciando o primeiro curso, outros já tendo concluído mais de um. O 95º percentil (70.0h) mostra o teto de horas acumuladas pelos alunos mais avançados, útil como referência para eventuais critérios de certificação ou reconhecimento.</w:t>
      </w:r>
    </w:p>
    <w:p>
      <w:r>
        <w:rPr>
          <w:b w:val="0"/>
          <w:i w:val="0"/>
        </w:rPr>
        <w:t>A taxa de frequência média de 84.5% indica bom engajamento prévio dos estudantes simulados, com dispersão moderada (CV = 12.6%). O 95º percentil (100.0%) reforça que a grande maioria dos alunos mantém frequência muito alta, o que justifica a importância da funcionalidade de registro de presença por QR Code para sustentar esse indicador em alto volume de encontros.</w:t>
      </w:r>
    </w:p>
    <w:p>
      <w:pPr>
        <w:pStyle w:val="Heading1"/>
      </w:pPr>
      <w:r>
        <w:t>5. Referências dos Arquivos Entregues</w:t>
      </w:r>
    </w:p>
    <w:p>
      <w:pPr>
        <w:pStyle w:val="ListBullet"/>
      </w:pPr>
      <w:r>
        <w:t>dados_simulados_alunos.csv — base completa com os 50 registros simulados</w:t>
      </w:r>
    </w:p>
    <w:p>
      <w:pPr>
        <w:pStyle w:val="ListBullet"/>
      </w:pPr>
      <w:r>
        <w:t>grafico_idade.png, grafico_carga_horaria.png, grafico_frequencia_boxplot.png — gráficos gerados a partir da 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