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FECAP - Fundação Escola de Comércio Álvares Penteado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Breno Sales Colaneri - 24026968 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Guilherme Leão Rodrigues - 25027205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 Izabelli Ribeiro dos Santos - 25027357</w:t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 Rafael Chagas Silva - 25027262 </w:t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ENTREGA 1</w:t>
      </w:r>
    </w:p>
    <w:p w:rsidR="00000000" w:rsidDel="00000000" w:rsidP="00000000" w:rsidRDefault="00000000" w:rsidRPr="00000000" w14:paraId="0000000A">
      <w:pPr>
        <w:spacing w:after="200" w:lineRule="auto"/>
        <w:jc w:val="left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Projeto Interdisciplinar: Ciência de Dados</w:t>
      </w:r>
    </w:p>
    <w:p w:rsidR="00000000" w:rsidDel="00000000" w:rsidP="00000000" w:rsidRDefault="00000000" w:rsidRPr="00000000" w14:paraId="0000000D">
      <w:pPr>
        <w:spacing w:after="800" w:lineRule="auto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 de dados: Demonstrativo_Fecap_v3.csv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Setembro de 2026 - São Paulo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O objetivo geral do projeto é desenvolver um dashboard capaz de apoiar decisões estratégicas e operacionais, a partir de uma base de dados de simulação financeira (Monte Carlo) de uma concessão de infraestrutura.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Esta primeira entrega cobre o ciclo de compreensão e preparação dos dados, organizado nas oito etapas a seguir, todas aplicadas sobre a base Demonstrativo_Fecap_v3.csv e documentadas com o script correspondente em Python (Google Colab).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Identificar fontes de dados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Coletar dados iniciais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Descrever os dados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Explorar os dados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Selecionar os dados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Limpar e uniformizar os dados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Derivar e integrar os dados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Formatar os dados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O script Python completo, executável diretamente no Google Colab, acompanha este documento em arquivo separado (Entrega1_Fecap_Analise_Dados.ipynb).</w:t>
      </w:r>
    </w:p>
    <w:p w:rsidR="00000000" w:rsidDel="00000000" w:rsidP="00000000" w:rsidRDefault="00000000" w:rsidRPr="00000000" w14:paraId="0000001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Identificação das Fontes de Dados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A única fonte de dados utilizada nesta entrega é o arquivo Demonstrativo_Fecap_v3.csv, gerado por um modelo de simulação financeira (Monte Carlo) que projeta o desempenho de uma concessão de infraestrutura ao longo de 12 anos, sob 1.200 cenários distintos.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Características técnicas do arquivo: 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50"/>
        <w:tblGridChange w:id="0">
          <w:tblGrid>
            <w:gridCol w:w="350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CSV (texto delimitado)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Separador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ponto e vírgula ( ;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Separador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vírgula ( , ) — padrão brasileiro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Codificação de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ISO-8859-1 (Latin-1)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Cabeçalho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ausente — colunas inferidas pela 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1.002.000 linhas × 4 colunas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As quatro colunas identificadas na estrutura bruta são: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 projetado do modelo ("Ano 1" a "Ano 12")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Identificador do cenário simulado ("Total Cen_00001" a "Total Cen_01200")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Linha contábil: Balanço Patrimonial (BAL), Demonstrativo de Resultado (DRE) ou Fluxo de Caixa (FLU)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 monetário em reais (R$) da conta naquele Ano/Cenário; quando "Conta" é vazio, carrega a taxa anual do cenário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Por se tratar de uma base interna/gerada por modelo (não uma fonte externa de terceiros), não há restrições de licenciamento — mas exige-se atenção redobrada à consistência interna, verificada nas seções seguintes.</w:t>
      </w:r>
    </w:p>
    <w:p w:rsidR="00000000" w:rsidDel="00000000" w:rsidP="00000000" w:rsidRDefault="00000000" w:rsidRPr="00000000" w14:paraId="0000004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Coleta dos Dados Iniciais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A coleta foi realizada em Python, no Google Colab, com a biblioteca pandas. A leitura exigiu três parâmetros não padrão, identificados a partir da inspeção do arquivo bruto: separador ';', decimal ',' e codificação 'latin1'. Sem esses ajustes, a leitura falha ou interpreta incorretamente os valores monetários.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Trecho do script de coleta (Python/Colab):</w:t>
      </w:r>
    </w:p>
    <w:p w:rsidR="00000000" w:rsidDel="00000000" w:rsidP="00000000" w:rsidRDefault="00000000" w:rsidRPr="00000000" w14:paraId="00000045">
      <w:pPr>
        <w:shd w:fill="f2f2f2" w:val="clear"/>
        <w:spacing w:after="200" w:before="12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 = pd.read_csv('Demonstrativo_Fecap_v3.csv', sep=';', decimal=',', thousands='.',                 encoding='latin1', header=None,                 names=['Ano', 'Cenario', 'Conta', 'Valor'])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A coleta resultou em 1.002.000 linhas lidas com sucesso, sem erros de parsing e sem valores ausentes na coluna Valor.</w:t>
      </w:r>
    </w:p>
    <w:p w:rsidR="00000000" w:rsidDel="00000000" w:rsidP="00000000" w:rsidRDefault="00000000" w:rsidRPr="00000000" w14:paraId="0000004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Descrição dos Dados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Com os dados carregados, foi feito o levantamento de volume, tipos, cardinalidade e integridade estrutural da base.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50"/>
        <w:tblGridChange w:id="0">
          <w:tblGrid>
            <w:gridCol w:w="350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Linhas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(Ano 1 a Ano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Cenários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Contas distintas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 (69 contas contábeis + 1 rótulo em branco correspondente à taxa)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Valores ausentes (nulos)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na coluna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Combinações Ano ×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14.400 (12 × 1.200), todas presentes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Achado relevante: estrutura não uniforme entre anos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número de linhas por combinação Ano/Cenário não é constante. A investigação revelou: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 1 e Ano 2:</w:t>
      </w:r>
      <w:r w:rsidDel="00000000" w:rsidR="00000000" w:rsidRPr="00000000">
        <w:rPr>
          <w:rtl w:val="0"/>
        </w:rPr>
        <w:t xml:space="preserve"> ausência da conta "BAL - Dividendos Antecipados (não há saldo anterior a distribuir nestes anos).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 12:</w:t>
      </w:r>
      <w:r w:rsidDel="00000000" w:rsidR="00000000" w:rsidRPr="00000000">
        <w:rPr>
          <w:rtl w:val="0"/>
        </w:rPr>
        <w:t xml:space="preserve"> ausência de 27 contas,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pertencentes ao Balanço Patrimonial (BAL) — evidenciando que este é o ano de encerramento da concessão, quando os ativos revertem ao poder concedente.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Exploração dos Dados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A exploração buscou entender o comportamento das principais contas de resultado ao longo do tempo e a dispersão entre os 1.200 cenários simulados.</w:t>
      </w:r>
    </w:p>
    <w:p w:rsidR="00000000" w:rsidDel="00000000" w:rsidP="00000000" w:rsidRDefault="00000000" w:rsidRPr="00000000" w14:paraId="0000005F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4.1 Evolução da Receita entre os cenários</w:t>
      </w:r>
    </w:p>
    <w:p w:rsidR="00000000" w:rsidDel="00000000" w:rsidP="00000000" w:rsidRDefault="00000000" w:rsidRPr="00000000" w14:paraId="0000006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Figura 1 — Receita média por ano, com faixa entre os percentis 10 e 90 dos 1.200 cenários.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A receita média parte de R$ 6,68 bi no Ano 1, recua no Ano 2 (R$ 6,09 bi) e cresce de forma gradual até o Ano 11. No Ano 12, há um salto atípico de 23%, atingindo R$ 11,96 bi. Considerando apenas a operação normal (Anos 1 a 11), a receita média é de R$ 7,55 bilhões. 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4.2 Distribuição do EBITDA em um ano específico</w:t>
      </w:r>
    </w:p>
    <w:p w:rsidR="00000000" w:rsidDel="00000000" w:rsidP="00000000" w:rsidRDefault="00000000" w:rsidRPr="00000000" w14:paraId="0000006B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Figura 2 — Distribuição do EBITDA simulado no Ano 6, entre os 1.200 cenários.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A distribuição do EBITDA no Ano 6 apresenta forte distorção em relação a uma curva normal. A análise estatística aponta curtose elevada (39,4) e rejeita a normalidade. Nota-se que os cenários 1 a 1000 são homogêneos, mas os cenários 1001 a 1200 apresentam alta variabilidade e geram valores extremos (outliers) que puxam a média. 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4.3 Dispersão da Margem EBITDA ao longo dos anos</w:t>
      </w:r>
    </w:p>
    <w:p w:rsidR="00000000" w:rsidDel="00000000" w:rsidP="00000000" w:rsidRDefault="00000000" w:rsidRPr="00000000" w14:paraId="0000007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952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Figura 3 — Boxplot da Margem EBITDA por ano, entre os cenários.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A margem EBITDA média sobe de forma gradual de 77% no Ano 1 para cerca de 82% entre os Anos 9 e 11, com um salto atípico para 96% no Ano 12. Diferentemente do que se poderia supor, esse salto não ocorre por uma queda de despesas (que se mantêm estáveis na casa de R$ 1,0 bilhão), mas sim devido a um forte crescimento na Receita (+23% em relação ao Ano 11) e a um pico expressivo na conta de 'Outros Resultados Operacionais', que salta de R$ 0,05 bilhão para R$ 1,47 bilhão no ano de encerramento. </w:t>
      </w:r>
    </w:p>
    <w:p w:rsidR="00000000" w:rsidDel="00000000" w:rsidP="00000000" w:rsidRDefault="00000000" w:rsidRPr="00000000" w14:paraId="0000007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4.4 Correlação entre indicadores</w:t>
      </w:r>
    </w:p>
    <w:p w:rsidR="00000000" w:rsidDel="00000000" w:rsidP="00000000" w:rsidRDefault="00000000" w:rsidRPr="00000000" w14:paraId="00000074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400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Figura 4 — Matriz de correlação entre os principais indicadores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Receita e EBITDA apresentam correlação fortíssima (0,99). Já os Custos apresentam correlação moderada com a Receita (0,48) e com o EBITDA (0,51). A Taxa Anual demonstra alta correlação matemática no gráfico geral, mas isso é um artefato causado unicamente pelo Ano 12 (onde a taxa inverte seu sinal). Excluindo o Ano 12, a taxa apresenta correlação próxima a zero com os indicadores de resultado. </w:t>
      </w:r>
    </w:p>
    <w:p w:rsidR="00000000" w:rsidDel="00000000" w:rsidP="00000000" w:rsidRDefault="00000000" w:rsidRPr="00000000" w14:paraId="0000007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4.5 Estatísticas descritivas gerais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50"/>
        <w:gridCol w:w="2050"/>
        <w:gridCol w:w="2050"/>
        <w:tblGridChange w:id="0">
          <w:tblGrid>
            <w:gridCol w:w="3200"/>
            <w:gridCol w:w="2050"/>
            <w:gridCol w:w="2050"/>
            <w:gridCol w:w="20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Receita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7,91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5,75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14,59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EBITDA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6,50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4,32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13,76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 Líquido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3,36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1,65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8,23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Margem 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81,3%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97,5%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Margem Líquida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41,0%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58,2%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Seleção dos Dados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Das 69 contas contábeis disponíveis, nem todas agregam valor direto a um dashboard estratégico/operacional — muitas são detalhamentos contábeis granulares (subcontas de créditos tributários, outorga da concessão, etc.) mais adequados a uma análise contábil detalhada do que a um painel de decisão executiva.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  <w:t xml:space="preserve">Foram selecionadas 14 contas centrais, organizadas em três blocos de indicadores: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Contas selecionadas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 (DRE)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Receita, Custos, EBITDA, Resultado Financeiro, Resultado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Posição Patrimonial (BAL)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 do Ativo, Total do Passivo, Ativo Circulante, Passivo Circulante, Patrimônio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Caixa (FLU)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Geração de Caixa, Investimentos, Distribuição para Acionista, Saldo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As demais 55 contas não são descartadas — permanecem disponíveis no dataset tratado para eventuais filtros de detalhamento, mas não compõem os indicadores de primeira linha do dashboard, evitando poluição visual no painel principal.</w:t>
      </w:r>
    </w:p>
    <w:p w:rsidR="00000000" w:rsidDel="00000000" w:rsidP="00000000" w:rsidRDefault="00000000" w:rsidRPr="00000000" w14:paraId="0000009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Limpeza e Uniformização dos Dados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Foram aplicados cinco tratamentos sobre a base bruta: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Separação do parâmetro de taxa: as linhas com "Conta" em branco não são sujeira — 1 em cada 3 carrega a taxa anual daquele cenário (as outras 2 são zeros estruturais de separação de seção). A taxa foi extraída para uma tabela auxiliar (14.400 registros, um por combinação Ano × Cenário).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Padronização de texto: remoção de espaços duplicados nos nomes de conta (ex.: "BAL  - Capital Social" → "BAL - Capital Social").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Desambiguação de nomes truncados: "BAL - Emprést" e "BAL - Outros deb" são, na verdade, contas de longo prazo distintas das de curto prazo ("BAL - Empréstimos" e "BAL - Outros Débitos"). Foram renomeadas para "BAL - Empréstimos LP" e "BAL - Outros Débitos LP", evitando ambiguidade ou agregação indevida.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Conversão de tipos: a coluna Valor, em formato numérico brasileiro (ponto de milhar, vírgula decimal), foi convertida para tipo numérico (float).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chaves ordenáveis: extração da parte numérica de "Ano" e "Cenário" (Ano_num, Cenario_num), pois a ordenação alfabética de texto colocaria "Ano 10" antes de "Ano 2".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  <w:t xml:space="preserve">Após a limpeza, a base mantém 69 contas distintas (nenhuma foi mesclada indevidamente) e 100% dos valores numéricos convertidos com sucesso.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7. Derivação e Integração dos Dados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Os dados foram transformados do formato longo original (uma linha por Ano/Cenário/Conta) para o formato largo (uma linha por Ano/Cenário, uma coluna por conta), exigido pela maioria das ferramentas de dashboard (Power BI, Streamlit, etc.).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  <w:t xml:space="preserve">A tabela de taxa anual, separada na etapa de limpeza, foi integrada de volta ao dataset largo via junção pelas chaves Ano e Cenário.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Foram derivados quatro indicadores financeiros que não existem explicitamente no CSV original, mas são essenciais para decisões estratégicas: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50"/>
        <w:tblGridChange w:id="0">
          <w:tblGrid>
            <w:gridCol w:w="3600"/>
            <w:gridCol w:w="57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Margem 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EBITDA ÷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Margem Líquida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 Líquido ÷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ROE (Retorno sobre Patrimônio)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 Líquido ÷ Patrimônio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Liquidez 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Ativo Circulante ÷ |Passivo Circulante|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  <w:t xml:space="preserve">O resultado da integração é uma tabela única de 14.400 linhas (uma por combinação Ano × Cenário) e 78 colunas, contendo as 69 contas originais, a taxa anual e os 4 indicadores derivados.</w:t>
      </w:r>
    </w:p>
    <w:p w:rsidR="00000000" w:rsidDel="00000000" w:rsidP="00000000" w:rsidRDefault="00000000" w:rsidRPr="00000000" w14:paraId="000000B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 Formatação Final dos Dados</w:t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  <w:t xml:space="preserve">Na etapa final, a base de dados consolidada e tratada foi disponibilizada num ficheiro Excel único e estruturado. Este ficheiro final contém as contas e indicadores segmentados em abas, estando formatado e estruturado.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50"/>
        <w:tblGridChange w:id="0">
          <w:tblGrid>
            <w:gridCol w:w="3200"/>
            <w:gridCol w:w="3200"/>
            <w:gridCol w:w="29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Contabilidade e Finanças.xlsx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 estruturado em abas (Balanço, DRE, DFC e KPIs)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oficial de 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Resumo da Entrega 1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Fontes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CSV, simulação de 1.200 cenários × 12 anos × 69 contas contábeis.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1.002.000 linhas lidas com sucesso (encoding Latin-1, separador ';').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Sem valores nulos; Ano 12 identificado como ano de encerramento da concessão.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Exploração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Receita e EBITDA crescentes; incerteza entre cenários aumenta com 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 contas centrais escolhidas para os indicadores de primeira linha.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Limpeza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Nomes padronizados, taxa anual isolada, tipos numéricos corrigidos.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Derivação/Integração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indicadores calculados; dataset pivotado e integrado (14.400 × 78).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Dataset final exportado num único Excel estruturado em abas.</w:t>
            </w:r>
          </w:p>
        </w:tc>
      </w:tr>
    </w:tbl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FTPqTJijVK3g/eAflRUQmF/yQ==">CgMxLjA4AHIhMTZYUzh3cG5oYTJoam1UU1F2SFMzYkI4M3NfbDNubFly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2026-09-14T22:16:38.599Z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