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FECAP - Fundação Escola de Comércio Álvares Penteado</w:t>
      </w:r>
    </w:p>
    <w:p>
      <w:pPr>
        <w:jc w:val="center"/>
      </w:pPr>
      <w:r>
        <w:rPr>
          <w:b w:val="0"/>
          <w:sz w:val="22"/>
        </w:rPr>
        <w:t>Ciência da Computação, 4º semestre, 2026/2</w:t>
      </w:r>
    </w:p>
    <w:p/>
    <w:p>
      <w:pPr>
        <w:jc w:val="center"/>
      </w:pPr>
      <w:r>
        <w:rPr>
          <w:b/>
          <w:sz w:val="40"/>
        </w:rPr>
        <w:t>CTI: Plataforma Analítica de Planejamento Financeiro</w:t>
      </w:r>
    </w:p>
    <w:p>
      <w:pPr>
        <w:jc w:val="center"/>
      </w:pPr>
      <w:r>
        <w:rPr>
          <w:b w:val="0"/>
          <w:sz w:val="28"/>
        </w:rPr>
        <w:t>Entrega 1: Projeto Interdisciplinar Ciência de Dados</w:t>
      </w:r>
    </w:p>
    <w:p>
      <w:pPr>
        <w:jc w:val="center"/>
      </w:pPr>
      <w:r>
        <w:rPr>
          <w:b w:val="0"/>
          <w:sz w:val="22"/>
        </w:rPr>
        <w:t>Identificação, coleta, exploração e preparação dos dados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 w:val="true"/>
          <w:tblHeader w:val="true"/>
        </w:trPr>
        <w:tc>
          <w:tcPr>
            <w:tcW w:type="dxa" w:w="9518"/>
            <w:gridSpan w:val="2"/>
          </w:tcPr>
          <w:p>
            <w:pPr>
              <w:keepNext/>
            </w:pPr>
            <w:r/>
            <w:r>
              <w:rPr>
                <w:b/>
                <w:sz w:val="19"/>
              </w:rPr>
              <w:t>Identificação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Grupo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6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Professor orientador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Eduardo Savino Gomes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Integrantes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sz w:val="18"/>
              </w:rPr>
              <w:t>Gustavo Pires, Lúcio Vecchio, Luiz Henrique, Eric Aloise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Repositório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github.com/2026-2-NCC4/Projeto6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B57"/>
        </w:rPr>
        <w:t>1. Introdução</w:t>
      </w:r>
    </w:p>
    <w:p>
      <w:r>
        <w:rPr>
          <w:b w:val="0"/>
        </w:rPr>
        <w:t>A CTI Global cedeu ao projeto uma base com a projeção financeira de uma concessionária de infraestrutura. O objetivo desta primeira entrega é transformar esse arquivo bruto numa base analítica confiável e documentada, que sirva de ponto de partida comum para as análises estatísticas, os indicadores financeiros e o painel que o grupo vai construir.</w:t>
      </w:r>
    </w:p>
    <w:p>
      <w:r>
        <w:rPr>
          <w:b w:val="0"/>
        </w:rPr>
        <w:t>O trabalho segue o CRISP-DM, a metodologia adotada pela disciplina. Esta entrega cobre duas de suas fases: Entender os Dados e Preparação dos Dados. Cada tarefa pedida no enunciado corresponde a uma seção deste relatório e a um artefato executável no repositório.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 w:val="true"/>
          <w:tblHeader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Tarefa do enunciado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Seção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Onde está no repositório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Identificar fontes de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Este relatório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Coletar dados iniciais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src/notebooks/01_perfil.ipynb e src/prepara.py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Descrever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01 e dicionário de dados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Explorar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5 e 6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01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Selecionar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02 e src/prepara.py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Limpar e uniformizar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02 e src/prepara.py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Derivar e integrar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02 e src/prepara.py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Formatar os dados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Notebook 02, src/prepara.py e dicionário de dados</w:t>
            </w:r>
          </w:p>
        </w:tc>
      </w:tr>
    </w:tbl>
    <w:p/>
    <w:p>
      <w:pPr>
        <w:pStyle w:val="Heading1"/>
      </w:pPr>
      <w:r>
        <w:rPr>
          <w:color w:val="1F3B57"/>
        </w:rPr>
        <w:t>2. Identificação das fontes de dados</w:t>
      </w:r>
    </w:p>
    <w:p>
      <w:r>
        <w:rPr>
          <w:b w:val="0"/>
        </w:rPr>
        <w:t>O projeto usa uma única fonte de dados, fornecida pela empresa parceira.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 w:val="true"/>
          <w:tblHeader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Atributo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Fonte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Arquivo Demonstrativo Fecap v3.csv, fornecido pela CTI Global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Natureza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Projeção financeira de uma concessionária de infraestrutura. São dados projetados, e não históricos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Responsável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CTI Global, que produziu e cedeu a base. A cópia de trabalho fica com o grupo, fora do repositório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Recebimento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21 de agosto de 2026, disponibilizado à turma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Versão e atualização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Versão v3 do arquivo, recebida uma única vez. Uma nova versão exigiria refazer a preparação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Formato e volume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CSV com 75.085.191 bytes e 1.002.000 linhas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Período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12 anos de horizonte. Pela convenção indicada pela CTI, o Ano 1 corresponde a 2027 e o Ano 12 a 2038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Cenários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1.200, gerados por simulação de Monte Carlo. Cada um é um futuro possível para a mesma concessão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Granularidade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Uma linha por cenário, ano e conta contábil, mais três linhas sem nome de conta por cenário e ano (seção 6)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Campos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ano, cenário, conta e valor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Condições de uso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Uso acadêmico e confidencial. O arquivo não é publicado e fica fora do repositório público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Limitações conhecidas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Sem cabeçalho; sem documentação das premissas da simulação; EBITDA sem memória de cálculo; último ano com contas a menos, por ser o encerramento da concessão</w:t>
            </w:r>
          </w:p>
        </w:tc>
      </w:tr>
    </w:tbl>
    <w:p/>
    <w:p>
      <w:r>
        <w:rPr>
          <w:b w:val="0"/>
        </w:rPr>
        <w:t>Como fontes de contexto, e não de dados, foram usadas as orientações enviadas pela CTI à turma em 8 de setembro de 2026, que explicam a natureza da base, e o material das disciplinas de Ciência de Dados e de Contabilidade e Finanças.</w:t>
      </w:r>
    </w:p>
    <w:p>
      <w:r>
        <w:rPr>
          <w:b w:val="0"/>
        </w:rPr>
        <w:t>Fonte complementar: o IPCA foi considerado para converter valores nominais em valores reais, mas não foi integrado. A CTI não informou se a projeção já está ajustada pela inflação, e aplicar um ajuste sem essa resposta poderia distorcer os números em vez de corrigi-los.</w:t>
      </w:r>
    </w:p>
    <w:p>
      <w:pPr>
        <w:pStyle w:val="Heading1"/>
      </w:pPr>
      <w:r>
        <w:rPr>
          <w:color w:val="1F3B57"/>
        </w:rPr>
        <w:t>3. Coleta dos dados iniciais</w:t>
      </w:r>
    </w:p>
    <w:p>
      <w:r>
        <w:rPr>
          <w:b w:val="0"/>
        </w:rPr>
        <w:t>O arquivo foi guardado em src/data/raw, pasta excluída do controle de versão por regra no .gitignore, porque o repositório é público. Ele é aberto apenas para leitura.</w:t>
      </w:r>
    </w:p>
    <w:p>
      <w:r>
        <w:rPr>
          <w:b w:val="0"/>
        </w:rPr>
        <w:t>O arquivo não segue o formato que as bibliotecas assumem por padrão. A leitura exigiu seis parâmetros, cada um corrigindo uma diferença específica: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 w:val="true"/>
          <w:tblHeader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Parâmetro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Motivo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Separador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ponto e vírgula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As colunas não são separadas por vírgula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Cabeçalho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nenhum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 primeira linha já é dado; sem essa indicação, um registro seria perdido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Nomes das colunas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ano, cenario, conta, valor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Definidos pelo grupo, já que o arquivo não traz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Codificação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latin-1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Com a codificação padrão, os acentos dos nomes das contas saem corrompidos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Separador decimal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vírgula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Formato numérico brasileiro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Separador de milhar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ponto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Sem ele, um valor como 1.234 seria lido como 1,234, mil vezes menor</w:t>
            </w:r>
          </w:p>
        </w:tc>
      </w:tr>
    </w:tbl>
    <w:p/>
    <w:p>
      <w:r>
        <w:rPr>
          <w:b w:val="0"/>
        </w:rPr>
        <w:t>Duas garantias acompanham a coleta. Cada linha recebe o número da linha correspondente no arquivo original, o que permite rastrear qualquer valor preparado até a fonte. E o script calcula a impressão digital SHA-256 do arquivo antes e depois da preparação: sendo iguais, fica provado que a preparação não alterou a base da CTI.</w:t>
      </w:r>
    </w:p>
    <w:p>
      <w:r>
        <w:rPr>
          <w:b w:val="0"/>
        </w:rPr>
        <w:t>A coleta pode ser reproduzida de três formas: pelo notebook 01, pelo script src/prepara.py ou pelo notebook 02. Os dois notebooks têm uma célula de configuração para o Google Colab, que clona o repositório e copia a base a partir do Google Drive de quem executa, sem publicá-la. Para não expor a base, os notebooks mostram estrutura, contagens e resultados agregados, e nunca linhas individuais.</w:t>
      </w:r>
    </w:p>
    <w:p>
      <w:pPr>
        <w:pStyle w:val="Heading1"/>
      </w:pPr>
      <w:r>
        <w:rPr>
          <w:color w:val="1F3B57"/>
        </w:rPr>
        <w:t>4. Descrição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 w:val="true"/>
          <w:tblHeader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Característica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Registros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1.002.000 linhas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Dimensões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12 anos x 1.200 cenários = 14.400 combinações de ano e cenário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Contas contábeis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69, divididas em três blocos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BAL: balanço patrimonial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43 contas. Posições no fim de cada ano, como ativo, passivo e patrimônio líquido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DRE: demonstração do resultado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14 contas. Receita, custos, EBITDA e resultado do ano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FLU: fluxo de caixa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12 contas. Entradas, saídas, geração de caixa e saldos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Linhas sem nome de conta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43.200, exatamente três por combinação de ano e cenário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Cobertura por ano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69 contas nos anos 3 a 11; 68 nos anos 1 e 2; 42 no Ano 12</w:t>
            </w:r>
          </w:p>
        </w:tc>
      </w:tr>
    </w:tbl>
    <w:p/>
    <w:p>
      <w:r>
        <w:rPr>
          <w:b w:val="0"/>
        </w:rPr>
        <w:t>A base segue uma convenção de sinais que precisa ser respeitada em qualquer cálculo. No balanço, o ativo é positivo e o passivo total e o patrimônio líquido são negativos, em regra. Na DRE e no fluxo de caixa, entradas são positivas e saídas, como custos, tributos e distribuição aos acionistas, são negativas. Um valor negativo, portanto, não é erro. Há exceções, e o dicionário de dados registra o sinal observado de cada conta: as contas redutoras do ativo, como a depreciação acumulada, são negativas; o passivo circulante é positivo em cerca de 62% dos registros; e, no encerramento, os totais do balanço chegam a inverter de sinal.</w:t>
      </w:r>
    </w:p>
    <w:p>
      <w:r>
        <w:rPr>
          <w:b w:val="0"/>
        </w:rPr>
        <w:t>O significado, o tipo, a unidade e a cobertura de cada um dos 81 campos da base analítica (3 de identificação, 69 contas e 9 derivados), além do grupo contábil, do tipo de linha e do sinal observado de cada conta, estão no dicionário de dados, publicado na mesma pasta deste relatório.</w:t>
      </w:r>
    </w:p>
    <w:p>
      <w:pPr>
        <w:pStyle w:val="Heading1"/>
      </w:pPr>
      <w:r>
        <w:rPr>
          <w:color w:val="1F3B57"/>
        </w:rPr>
        <w:t>5. Exploração dos dados</w:t>
      </w:r>
    </w:p>
    <w:p>
      <w:pPr>
        <w:pStyle w:val="Heading2"/>
      </w:pPr>
      <w:r>
        <w:rPr>
          <w:color w:val="1F3B57"/>
        </w:rPr>
        <w:t>5.1 Receita ao longo do horizonte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ceita_por_a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1: receita projetada por ano. Linha: mediana dos 1.200 cenários. Faixa: entre os percentis 10 e 90.</w:t>
      </w:r>
    </w:p>
    <w:p>
      <w:r>
        <w:rPr>
          <w:b w:val="0"/>
        </w:rPr>
        <w:t>A receita mediana cai de R$ 6,67 bilhões em 2027 para R$ 6,09 bilhões em 2028 e depois cresce de forma contínua até R$ 9,70 bilhões em 2037. Em 2038 ela salta 23%, para R$ 11,93 bilhões. A CTI confirmou que o último ano é o encerramento da concessão, com a liquidação de direitos e obrigações, o que ajuda a entender por que ele se comporta diferente dos demais.</w:t>
      </w:r>
    </w:p>
    <w:p>
      <w:r>
        <w:rPr>
          <w:b w:val="0"/>
        </w:rPr>
        <w:t>A faixa entre os cenários é estreita: o coeficiente de variação da receita vai de 0,53% em 2027 a 2,94% em 2037, e os cenários quase não divergem sobre a receita. O coeficiente cresce todos os anos, mas a largura da faixa entre os percentis 10 e 90 não: ela se estreita de 2027 a 2031, de R$ 66 milhões para R$ 7 milhões, e só depois se alarga.</w:t>
      </w:r>
    </w:p>
    <w:p>
      <w:pPr>
        <w:pStyle w:val="Heading2"/>
      </w:pPr>
      <w:r>
        <w:rPr>
          <w:color w:val="1F3B57"/>
        </w:rPr>
        <w:t>5.2 Distribuição do resultado líquido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tribuicao_resultado_ano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2: distribuição do resultado líquido em 2037 entre os 1.200 cenários.</w:t>
      </w:r>
    </w:p>
    <w:p>
      <w:r>
        <w:rPr>
          <w:b w:val="0"/>
        </w:rPr>
        <w:t>Em 2037, o resultado líquido tem mediana de R$ 4,67 bilhões e varia entre R$ 3,27 e R$ 5,83 bilhões. Nenhum cenário registra prejuízo em nenhum ano: os 14.400 resultados de cenário e ano são positivos. A barra isolada perto de R$ 4,41 bilhões é formada por cenários repetidos, tratados na seção 6.</w:t>
      </w:r>
    </w:p>
    <w:p>
      <w:pPr>
        <w:pStyle w:val="Heading2"/>
      </w:pPr>
      <w:r>
        <w:rPr>
          <w:color w:val="1F3B57"/>
        </w:rPr>
        <w:t>5.3 Margens e geração de caixa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cantSplit w:val="true"/>
          <w:tblHeader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b/>
                <w:sz w:val="19"/>
              </w:rPr>
              <w:t>Ano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b/>
                <w:sz w:val="19"/>
              </w:rPr>
              <w:t>Margem EBITDA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b/>
                <w:sz w:val="19"/>
              </w:rPr>
              <w:t>Margem operacional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b/>
                <w:sz w:val="19"/>
              </w:rPr>
              <w:t>Margem líquida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2027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77,1%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63,6%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36,4%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2030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79,4%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60,2%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35,7%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2033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81,1%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64,0%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41,1%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2036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82,3%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67,9%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45,3%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2037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82,4%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71,2%</w:t>
            </w:r>
          </w:p>
        </w:tc>
        <w:tc>
          <w:tcPr>
            <w:tcW w:type="dxa" w:w="2379"/>
          </w:tcPr>
          <w:p>
            <w:pPr>
              <w:keepNext/>
            </w:pPr>
            <w:r/>
            <w:r>
              <w:rPr>
                <w:sz w:val="18"/>
              </w:rPr>
              <w:t>48,1%</w:t>
            </w:r>
          </w:p>
        </w:tc>
      </w:tr>
      <w:tr>
        <w:trPr>
          <w:cantSplit w:val="true"/>
        </w:trPr>
        <w:tc>
          <w:tcPr>
            <w:tcW w:type="dxa" w:w="2379"/>
          </w:tcPr>
          <w:p>
            <w:r/>
            <w:r>
              <w:rPr>
                <w:sz w:val="18"/>
              </w:rPr>
              <w:t>2038</w:t>
            </w:r>
          </w:p>
        </w:tc>
        <w:tc>
          <w:tcPr>
            <w:tcW w:type="dxa" w:w="2379"/>
          </w:tcPr>
          <w:p>
            <w:r/>
            <w:r>
              <w:rPr>
                <w:sz w:val="18"/>
              </w:rPr>
              <w:t>95,6%</w:t>
            </w:r>
          </w:p>
        </w:tc>
        <w:tc>
          <w:tcPr>
            <w:tcW w:type="dxa" w:w="2379"/>
          </w:tcPr>
          <w:p>
            <w:r/>
            <w:r>
              <w:rPr>
                <w:sz w:val="18"/>
              </w:rPr>
              <w:t>73,8%</w:t>
            </w:r>
          </w:p>
        </w:tc>
        <w:tc>
          <w:tcPr>
            <w:tcW w:type="dxa" w:w="2379"/>
          </w:tcPr>
          <w:p>
            <w:r/>
            <w:r>
              <w:rPr>
                <w:sz w:val="18"/>
              </w:rPr>
              <w:t>57,9%</w:t>
            </w:r>
          </w:p>
        </w:tc>
      </w:tr>
    </w:tbl>
    <w:p/>
    <w:p>
      <w:r>
        <w:rPr>
          <w:b w:val="0"/>
        </w:rPr>
        <w:t>A tabela mostra a mediana das margens entre os cenários. A margem EBITDA fica entre 75,8% e 82,4% até 2037. A margem líquida vai de 36,4% em 2027 a 48,1% em 2037, com o menor valor em 2028, de 32,6%.</w:t>
      </w:r>
    </w:p>
    <w:p>
      <w:pPr>
        <w:keepNext/>
      </w:pPr>
      <w:r>
        <w:rPr>
          <w:b w:val="0"/>
        </w:rPr>
        <w:t>A geração de caixa tem coeficiente de variação muito maior que o da receita: de 9% a 193% conforme o ano, contra menos de 3%. A comparação por esse coeficiente, porém, engana. A média da geração de caixa é pequena e muda de sinal entre os anos; em 2032 ela fica perto de zero, e é isso que leva o coeficiente a 193%. Em valor absoluto, a dispersão das duas variáveis é da mesma ordem: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cantSplit w:val="true"/>
          <w:tblHeader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b/>
                <w:sz w:val="19"/>
              </w:rPr>
              <w:t>Ano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b/>
                <w:sz w:val="19"/>
              </w:rPr>
              <w:t>Desvio da receita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b/>
                <w:sz w:val="19"/>
              </w:rPr>
              <w:t>Média da geração de caixa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b/>
                <w:sz w:val="19"/>
              </w:rPr>
              <w:t>Desvio da geração de caixa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b/>
                <w:sz w:val="19"/>
              </w:rPr>
              <w:t>Coeficiente de variação da geração de caixa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2027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35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343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183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53%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2030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73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-624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64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2032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114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-22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42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193%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2034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170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880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167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19%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2037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285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793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169</w:t>
            </w:r>
          </w:p>
        </w:tc>
        <w:tc>
          <w:tcPr>
            <w:tcW w:type="dxa" w:w="1904"/>
          </w:tcPr>
          <w:p>
            <w:pPr>
              <w:keepNext/>
            </w:pPr>
            <w:r/>
            <w:r>
              <w:rPr>
                <w:sz w:val="18"/>
              </w:rPr>
              <w:t>21%</w:t>
            </w:r>
          </w:p>
        </w:tc>
      </w:tr>
      <w:tr>
        <w:trPr>
          <w:cantSplit w:val="true"/>
        </w:trPr>
        <w:tc>
          <w:tcPr>
            <w:tcW w:type="dxa" w:w="1904"/>
          </w:tcPr>
          <w:p>
            <w:r/>
            <w:r>
              <w:rPr>
                <w:sz w:val="18"/>
              </w:rPr>
              <w:t>2038</w:t>
            </w:r>
          </w:p>
        </w:tc>
        <w:tc>
          <w:tcPr>
            <w:tcW w:type="dxa" w:w="1904"/>
          </w:tcPr>
          <w:p>
            <w:r/>
            <w:r>
              <w:rPr>
                <w:sz w:val="18"/>
              </w:rPr>
              <w:t>330</w:t>
            </w:r>
          </w:p>
        </w:tc>
        <w:tc>
          <w:tcPr>
            <w:tcW w:type="dxa" w:w="1904"/>
          </w:tcPr>
          <w:p>
            <w:r/>
            <w:r>
              <w:rPr>
                <w:sz w:val="18"/>
              </w:rPr>
              <w:t>-2.351</w:t>
            </w:r>
          </w:p>
        </w:tc>
        <w:tc>
          <w:tcPr>
            <w:tcW w:type="dxa" w:w="1904"/>
          </w:tcPr>
          <w:p>
            <w:r/>
            <w:r>
              <w:rPr>
                <w:sz w:val="18"/>
              </w:rPr>
              <w:t>1.020</w:t>
            </w:r>
          </w:p>
        </w:tc>
        <w:tc>
          <w:tcPr>
            <w:tcW w:type="dxa" w:w="1904"/>
          </w:tcPr>
          <w:p>
            <w:r/>
            <w:r>
              <w:rPr>
                <w:sz w:val="18"/>
              </w:rPr>
              <w:t>43%</w:t>
            </w:r>
          </w:p>
        </w:tc>
      </w:tr>
    </w:tbl>
    <w:p/>
    <w:p>
      <w:r>
        <w:rPr>
          <w:b w:val="0"/>
        </w:rPr>
        <w:t>Valores em R$ milhões, entre os 1.200 cenários, com desvio padrão amostral; o coeficiente usa o valor absoluto da média. Até 2037, o desvio da geração de caixa fica entre R$ 42 e R$ 225 milhões e o da receita entre R$ 35 e R$ 285 milhões; o do caixa é menor em 7 dos 12 anos. No encerramento, o desvio da geração de caixa sobe para cerca de R$ 1 bilhão. Por isso, o coeficiente de variação sozinho não indica onde está a incerteza da simulação, e as próximas análises comparam a dispersão também em valor absoluto.</w:t>
      </w:r>
    </w:p>
    <w:p>
      <w:pPr>
        <w:pStyle w:val="Heading1"/>
      </w:pPr>
      <w:r>
        <w:rPr>
          <w:color w:val="1F3B57"/>
        </w:rPr>
        <w:t>6. Verificação da qualidade</w:t>
      </w:r>
    </w:p>
    <w:p>
      <w:r>
        <w:rPr>
          <w:b w:val="0"/>
        </w:rPr>
        <w:t>Antes de preparar os dados, o grupo testou o que deveria ser verdade na base. Cada verificação declara uma expectativa e mostra o resultado; onde a expectativa falha, existe um achado.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 w:val="true"/>
          <w:tblHeader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Verificação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Resultado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Consequência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V1. Todo ano tem as mesmas contas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Anos 1 e 2 têm 68; o Ano 12 tem 42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O Ano 12 é o encerramento; contas ausentes não são zero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V2. Todos os grupos têm o mesmo tamanho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Três tamanhos: 42, 68 e 69 contas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O padrão vale para todos os cenários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V3. Cenário, ano e conta formam uma chave única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As únicas repetições estão nas linhas sem nome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Nenhuma conta financeira duplicada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V4. O balanço fecha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Ativo mais passivo fecha em zero nos 14.400 grupos, com resíduo máximo de centavos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Identidade dos totais conferida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V5. O que são as linhas sem nome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 primeira é o resíduo do balanço; as outras duas são sempre zero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São conferência do modelo, não contas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V6. O fluxo de caixa fecha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Saldo final igual a saldo inicial mais geração de caixa, nos 14.400 grupos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Serve de regra de conferência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V7. Todos os cenários são diferentes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94 cenários têm trajetória idêntica; restam 1.107 distintos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As 93 cópias alteram os percentis e precisam ser marcadas</w:t>
            </w:r>
          </w:p>
        </w:tc>
      </w:tr>
    </w:tbl>
    <w:p/>
    <w:p>
      <w:r>
        <w:rPr>
          <w:b w:val="0"/>
        </w:rPr>
        <w:t>A verificação V4 passou por uma correção durante o trabalho. A primeira versão subtraía o passivo do ativo e concluía que o balanço não fechava por bilhões. Na revisão, o grupo identificou que a base grava o passivo com sinal negativo; com a identidade escrita como soma, o balanço fecha em todos os grupos. O notebook registra o erro anterior em vez de apagá-lo.</w:t>
      </w:r>
    </w:p>
    <w:p>
      <w:r>
        <w:rPr>
          <w:b w:val="0"/>
        </w:rPr>
        <w:t>Na V7, a comparação usa os valores completos, sem arredondamento, e cada grupo é conferido valor a valor. Os 94 cenários repetidos estão todos entre Cen_01001 e Cen_01200. O efeito aparece nos percentis: com todos os cenários, os percentis 5 e 10 do resultado líquido de 2037 são iguais, R$ 4,41 bilhões; sem as cópias, passam a R$ 4,46 e R$ 4,60 bilhões.</w:t>
      </w:r>
    </w:p>
    <w:p>
      <w:pPr>
        <w:pStyle w:val="Heading1"/>
      </w:pPr>
      <w:r>
        <w:rPr>
          <w:color w:val="1F3B57"/>
        </w:rPr>
        <w:t>7. Seleção dos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 w:val="true"/>
          <w:tblHeader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O que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Decisão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Justificativa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Contas contábeis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As 69 contas seguem para a base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Cada análise escolhe as suas; excluir agora limitaria as próximas entregas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Linhas sem nome de conta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Saem da base de contas, mas são preservadas num arquivo de auditoria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 são contas financeiras (V5); apagá-las eliminaria a conferência do modelo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Cenários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Os 1.200 permanecem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 remoção das cópias depende de resposta da CTI; elas são marcadas, não excluídas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Anos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Os 12 anos permanecem, com o Ano 12 marcado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O encerramento é parte da concessão, mas precisa poder ser separado nas análises de tendência</w:t>
            </w:r>
          </w:p>
        </w:tc>
      </w:tr>
    </w:tbl>
    <w:p/>
    <w:p>
      <w:pPr>
        <w:pStyle w:val="Heading1"/>
      </w:pPr>
      <w:r>
        <w:rPr>
          <w:color w:val="1F3B57"/>
        </w:rPr>
        <w:t>8. Limpeza e uniformização</w:t>
      </w:r>
    </w:p>
    <w:p>
      <w:pPr>
        <w:pStyle w:val="ListBullet"/>
      </w:pPr>
      <w:r>
        <w:t>Nomes das contas: 9 contas foram gravadas com dois espaços antes do hífen. Isso não cria contas duplicadas, mas faz o bloco BAL aparecer como dois blocos diferentes. Os espaços foram padronizados numa coluna nova, e o nome original foi mantido em outra.</w:t>
      </w:r>
    </w:p>
    <w:p>
      <w:pPr>
        <w:pStyle w:val="ListBullet"/>
      </w:pPr>
      <w:r>
        <w:t>Campos de apoio: foram criados o número do ano (1 a 12), o ano pela convenção da CTI (2027 a 2038) e o bloco de cada conta (BAL, DRE ou FLU).</w:t>
      </w:r>
    </w:p>
    <w:p>
      <w:pPr>
        <w:pStyle w:val="ListBullet"/>
      </w:pPr>
      <w:r>
        <w:t>Validação da chave: antes de reorganizar os dados, o script confirma que nenhuma combinação de cenário, ano e conta se repete. Se houvesse repetição, uma soma automática juntaria dois valores sem aviso. A trava foi testada inserindo uma duplicata de propósito, e a preparação foi interrompida como esperado.</w:t>
      </w:r>
    </w:p>
    <w:p>
      <w:pPr>
        <w:pStyle w:val="ListBullet"/>
      </w:pPr>
      <w:r>
        <w:t>Valores ausentes: as contas que não existem no Ano 12 ficam vazias. Preenchê-las com zero afirmaria um valor que a CTI não informou.</w:t>
      </w:r>
    </w:p>
    <w:p>
      <w:pPr>
        <w:pStyle w:val="ListBullet"/>
      </w:pPr>
      <w:r>
        <w:t>Contas de nome parecido: Emprést e Empréstimos, assim como Outros deb e Outros Débitos, não foram unidas. Estão em grupos diferentes do balanço e têm sinais diferentes.</w:t>
      </w:r>
    </w:p>
    <w:p>
      <w:pPr>
        <w:pStyle w:val="ListBullet"/>
      </w:pPr>
      <w:r>
        <w:t>Sinais: nenhum valor negativo foi invertido. A convenção de sinais é parte do significado do dado.</w:t>
      </w:r>
    </w:p>
    <w:p>
      <w:pPr>
        <w:pStyle w:val="Heading1"/>
      </w:pPr>
      <w:r>
        <w:rPr>
          <w:color w:val="1F3B57"/>
        </w:rPr>
        <w:t>9. Derivação e integração</w:t>
      </w:r>
    </w:p>
    <w:p>
      <w:r>
        <w:rPr>
          <w:b w:val="0"/>
        </w:rPr>
        <w:t>Integração: os três demonstrativos, que no arquivo original estão em linhas separadas, foram reunidos numa única linha por cenário e ano. O resultado tem 14.400 linhas, uma para cada combinação dos 1.200 cenários com os 12 anos. Nenhuma fonte externa foi integrada, pelo motivo exposto na seção 2.</w:t>
      </w:r>
    </w:p>
    <w:p>
      <w:r>
        <w:rPr>
          <w:b w:val="0"/>
        </w:rPr>
        <w:t>Derivação: nove colunas novas foram criadas, sem alterar nenhuma conta original.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cantSplit w:val="true"/>
          <w:tblHeader w:val="true"/>
        </w:trPr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Coluna</w:t>
            </w:r>
          </w:p>
        </w:tc>
        <w:tc>
          <w:tcPr>
            <w:tcW w:type="dxa" w:w="4759"/>
          </w:tcPr>
          <w:p>
            <w:pPr>
              <w:keepNext/>
            </w:pPr>
            <w:r/>
            <w:r>
              <w:rPr>
                <w:b/>
                <w:sz w:val="19"/>
              </w:rPr>
              <w:t>Descrição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encerramento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Indica o Ano 12, para que as análises de tendência possam separá-lo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residuo_balanco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Total do ativo mais total do passivo; deve ser próximo de zero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conferencia_modelo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A primeira linha sem nome de conta, trazida de volta para comparação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margem_ebitda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EBITDA dividido pela receita, com o EBITDA como fornecido pela CTI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margem_operacional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Resultado operacional dividido pela receita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margem_liquida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Resultado líquido dividido pela receita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grupo_repeticao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Grupo dos cenários com trajetória idêntica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cenario_repetido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Indica se o cenário pertence a um grupo de repetição</w:t>
            </w:r>
          </w:p>
        </w:tc>
      </w:tr>
      <w:tr>
        <w:trPr>
          <w:cantSplit w:val="true"/>
        </w:trPr>
        <w:tc>
          <w:tcPr>
            <w:tcW w:type="dxa" w:w="4759"/>
          </w:tcPr>
          <w:p>
            <w:r/>
            <w:r>
              <w:rPr>
                <w:sz w:val="18"/>
              </w:rPr>
              <w:t>copia_excedente</w:t>
            </w:r>
          </w:p>
        </w:tc>
        <w:tc>
          <w:tcPr>
            <w:tcW w:type="dxa" w:w="4759"/>
          </w:tcPr>
          <w:p>
            <w:r/>
            <w:r>
              <w:rPr>
                <w:sz w:val="18"/>
              </w:rPr>
              <w:t>Indica as cópias além da primeira; filtrar por ela permite analisar sem cópias</w:t>
            </w:r>
          </w:p>
        </w:tc>
      </w:tr>
    </w:tbl>
    <w:p/>
    <w:p>
      <w:r>
        <w:rPr>
          <w:b w:val="0"/>
        </w:rPr>
        <w:t>O EBITDA foi mantido como a CTI forneceu. Ele não coincide com o resultado operacional antes da depreciação e amortização, isto é, o resultado operacional acrescido da despesa de depreciação e amortização, e a memória de cálculo ainda não foi informada pela CTI.</w:t>
      </w:r>
    </w:p>
    <w:p>
      <w:pPr>
        <w:pStyle w:val="Heading1"/>
      </w:pPr>
      <w:r>
        <w:rPr>
          <w:color w:val="1F3B57"/>
        </w:rPr>
        <w:t>10. Formatação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 w:val="true"/>
          <w:tblHeader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Arquivo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Conteúdo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b/>
                <w:sz w:val="19"/>
              </w:rPr>
              <w:t>No repositório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base_analitica.parquet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Uma linha por cenário e ano: 14.400 linhas e 81 colunas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Não, por conter valores da CTI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base_longa.parquet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Uma linha por cenário, ano e conta, com o nome original preservado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auditoria_sem_conta.parquet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As 43.200 linhas sem nome de conta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relatorio_qualidade.json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Resultado das verificações e impressão digital da entrada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dicionario_dados.csv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O dicionário de dados em CSV, para abrir em planilha</w:t>
            </w:r>
          </w:p>
        </w:tc>
        <w:tc>
          <w:tcPr>
            <w:tcW w:type="dxa" w:w="3173"/>
          </w:tcPr>
          <w:p>
            <w:pPr>
              <w:keepNext/>
            </w:pPr>
            <w:r/>
            <w:r>
              <w:rPr>
                <w:sz w:val="18"/>
              </w:rPr>
              <w:t>Não</w:t>
            </w:r>
          </w:p>
        </w:tc>
      </w:tr>
      <w:tr>
        <w:trPr>
          <w:cantSplit w:val="true"/>
        </w:trPr>
        <w:tc>
          <w:tcPr>
            <w:tcW w:type="dxa" w:w="3173"/>
          </w:tcPr>
          <w:p>
            <w:r/>
            <w:r>
              <w:rPr>
                <w:sz w:val="18"/>
              </w:rPr>
              <w:t>dicionario_dados.md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Descrição de cada campo, sem valores</w:t>
            </w:r>
          </w:p>
        </w:tc>
        <w:tc>
          <w:tcPr>
            <w:tcW w:type="dxa" w:w="3173"/>
          </w:tcPr>
          <w:p>
            <w:r/>
            <w:r>
              <w:rPr>
                <w:sz w:val="18"/>
              </w:rPr>
              <w:t>Sim</w:t>
            </w:r>
          </w:p>
        </w:tc>
      </w:tr>
    </w:tbl>
    <w:p/>
    <w:p>
      <w:r>
        <w:rPr>
          <w:b w:val="0"/>
        </w:rPr>
        <w:t>O formato Parquet foi escolhido por guardar os tipos de cada coluna e ser muito menor que o CSV. Os arquivos com valores ficam em src/data/processed, também excluída do controle de versão.</w:t>
      </w:r>
    </w:p>
    <w:p>
      <w:r>
        <w:rPr>
          <w:b w:val="0"/>
        </w:rPr>
        <w:t>Toda a preparação é reproduzível com um único comando, python src/prepara.py, que roda em cerca de 5 segundos num computador pessoal e refaz 15 verificações a cada execução: conservação dos registros, cobertura dos 12 anos e as identidades do balanço, da DRE e do fluxo de caixa. Se alguma falhar, a execução é interrompida antes de gravar qualquer arquivo, e a base da última execução aprovada continua como estava. O notebook 02 executa as mesmas funções passo a passo, mostra o efeito de cada etapa e confirma que a base construída por ele é idêntica à do script e à relida do arquivo Parquet.</w:t>
      </w:r>
    </w:p>
    <w:p>
      <w:pPr>
        <w:pStyle w:val="Heading1"/>
      </w:pPr>
      <w:r>
        <w:rPr>
          <w:color w:val="1F3B57"/>
        </w:rPr>
        <w:t>11. Limitações e pendências</w:t>
      </w:r>
    </w:p>
    <w:p>
      <w:pPr>
        <w:pStyle w:val="ListBullet"/>
      </w:pPr>
      <w:r>
        <w:t>A memória de cálculo do EBITDA não foi informada pela CTI.</w:t>
      </w:r>
    </w:p>
    <w:p>
      <w:pPr>
        <w:pStyle w:val="ListBullet"/>
      </w:pPr>
      <w:r>
        <w:t>O passivo circulante aparece com sinal positivo em cerca de 62% dos registros e não é igual à soma das contas do seu grupo. Isso precisa ser esclarecido antes do cálculo dos índices de liquidez.</w:t>
      </w:r>
    </w:p>
    <w:p>
      <w:pPr>
        <w:pStyle w:val="ListBullet"/>
      </w:pPr>
      <w:r>
        <w:t>Não se sabe se os 94 cenários repetidos são intencionais. Enquanto isso, as análises devem declarar se usam todos os cenários ou só os distintos.</w:t>
      </w:r>
    </w:p>
    <w:p>
      <w:pPr>
        <w:pStyle w:val="ListBullet"/>
      </w:pPr>
      <w:r>
        <w:t>Não se sabe se os valores estão ajustados pela inflação.</w:t>
      </w:r>
    </w:p>
    <w:p>
      <w:pPr>
        <w:pStyle w:val="ListBullet"/>
      </w:pPr>
      <w:r>
        <w:t>A execução pelo Google Colab foi preparada nos dois notebooks, mas testada apenas no ambiente local.</w:t>
      </w:r>
    </w:p>
    <w:p>
      <w:pPr>
        <w:pStyle w:val="Heading1"/>
      </w:pPr>
      <w:r>
        <w:rPr>
          <w:color w:val="1F3B57"/>
        </w:rPr>
        <w:t>12. Conclusão</w:t>
      </w:r>
    </w:p>
    <w:p>
      <w:r>
        <w:rPr>
          <w:b w:val="0"/>
        </w:rPr>
        <w:t>A entrega transforma um arquivo de um milhão de linhas, sem cabeçalho e com particularidades de formato, numa base de 14.400 linhas verificada, documentada e reproduzível. As verificações mostraram que as identidades contábeis testadas fecham em todos os grupos comparáveis, identificaram os cenários repetidos e explicaram as linhas sem nome de conta; a composição do passivo circulante e a memória do EBITDA seguem pendentes. As decisões de preparação foram registradas com justificativa, e nenhuma delas alterou a fonte.</w:t>
      </w:r>
    </w:p>
    <w:p>
      <w:r>
        <w:rPr>
          <w:b w:val="0"/>
        </w:rPr>
        <w:t>Essa base é o ponto de partida das próximas entregas. A Análise Inferencial vai usá-la para as medidas descritivas, histogramas e boxplots; Contabilidade e Finanças, para os demonstrativos e índices; e a Entrega 2, para a regressão e o painel. Partir do mesmo arquivo é o primeiro passo para que os números batam entre os documentos; o segundo é usar os mesmos filtros e fórmulas, o que o grupo confere antes de cada envio.</w:t>
      </w:r>
    </w:p>
    <w:p>
      <w:pPr>
        <w:pStyle w:val="Heading1"/>
      </w:pPr>
      <w:r>
        <w:rPr>
          <w:color w:val="1F3B57"/>
        </w:rPr>
        <w:t>13. Referências</w:t>
      </w:r>
    </w:p>
    <w:p>
      <w:pPr>
        <w:pStyle w:val="ListBullet"/>
      </w:pPr>
      <w:r>
        <w:t>FECAP. Projeto Interdisciplinar CTI: Plataforma Analítica de Planejamento Financeiro. Enunciado oficial, 4º CCOMP, 2026/2.</w:t>
      </w:r>
    </w:p>
    <w:p>
      <w:pPr>
        <w:pStyle w:val="ListBullet"/>
      </w:pPr>
      <w:r>
        <w:t>CTI Global. Orientações sobre a natureza da base de dados e a simulação de cenários. Comunicação à turma, 08/09/2026.</w:t>
      </w:r>
    </w:p>
    <w:p>
      <w:pPr>
        <w:pStyle w:val="ListBullet"/>
      </w:pPr>
      <w:r>
        <w:t>Material da disciplina Projeto Interdisciplinar Ciência de Dados: CRISP-DM (Aula 04) e preparação de dados com Python (Aula 05).</w:t>
      </w:r>
    </w:p>
    <w:p>
      <w:pPr>
        <w:pStyle w:val="ListBullet"/>
      </w:pPr>
      <w:r>
        <w:t>Repositório do projeto: github.com/2026-2-NCC4/Projeto6. Notebooks 01_perfil e 02_preparacao, script src/prepara.py e dicionário de dados.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