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sz w:val="22"/>
        </w:rPr>
        <w:t>FECAP - Fundação Escola de Comércio Álvares Penteado</w:t>
      </w:r>
    </w:p>
    <w:p>
      <w:pPr>
        <w:jc w:val="center"/>
      </w:pPr>
      <w:r>
        <w:rPr>
          <w:b w:val="0"/>
          <w:sz w:val="22"/>
        </w:rPr>
        <w:t>Ciência da Computação, 4º semestre, 2026/2</w:t>
      </w:r>
    </w:p>
    <w:p/>
    <w:p>
      <w:pPr>
        <w:jc w:val="center"/>
      </w:pPr>
      <w:r>
        <w:rPr>
          <w:b/>
          <w:sz w:val="40"/>
        </w:rPr>
        <w:t>CTI: Plataforma Analítica de Planejamento Financeiro</w:t>
      </w:r>
    </w:p>
    <w:p>
      <w:pPr>
        <w:jc w:val="center"/>
      </w:pPr>
      <w:r>
        <w:rPr>
          <w:b w:val="0"/>
          <w:sz w:val="28"/>
        </w:rPr>
        <w:t>Entrega 1: Engenharia de Software e Arquitetura de Sistemas</w:t>
      </w:r>
    </w:p>
    <w:p>
      <w:pPr>
        <w:jc w:val="center"/>
      </w:pPr>
      <w:r>
        <w:rPr>
          <w:b w:val="0"/>
          <w:sz w:val="22"/>
        </w:rPr>
        <w:t>Aplicação de métodos ágeis e engenharia de requisitos</w:t>
      </w:r>
    </w:p>
    <w:p/>
    <w:tbl>
      <w:tblPr>
        <w:tblStyle w:val="TableGrid"/>
        <w:tblW w:type="auto" w:w="0"/>
        <w:tblLayout w:type="fixed"/>
        <w:tblLook w:firstColumn="1" w:firstRow="1" w:lastColumn="0" w:lastRow="0" w:noHBand="0" w:noVBand="1" w:val="04A0"/>
      </w:tblPr>
      <w:tblGrid>
        <w:gridCol w:w="4759"/>
        <w:gridCol w:w="4759"/>
      </w:tblGrid>
      <w:tr>
        <w:trPr>
          <w:cantSplit w:val="true"/>
          <w:tblHeader w:val="true"/>
        </w:trPr>
        <w:tc>
          <w:tcPr>
            <w:tcW w:type="dxa" w:w="9185"/>
            <w:gridSpan w:val="2"/>
          </w:tcPr>
          <w:p>
            <w:pPr>
              <w:keepNext/>
            </w:pPr>
            <w:r/>
            <w:r>
              <w:rPr>
                <w:b/>
                <w:sz w:val="19"/>
              </w:rPr>
              <w:t>Identificação</w:t>
            </w:r>
          </w:p>
        </w:tc>
      </w:tr>
      <w:tr>
        <w:trPr>
          <w:cantSplit w:val="true"/>
        </w:trPr>
        <w:tc>
          <w:tcPr>
            <w:tcW w:type="dxa" w:w="2835"/>
          </w:tcPr>
          <w:p>
            <w:pPr>
              <w:keepNext/>
            </w:pPr>
            <w:r/>
            <w:r>
              <w:rPr>
                <w:sz w:val="18"/>
              </w:rPr>
              <w:t>Grupo</w:t>
            </w:r>
          </w:p>
        </w:tc>
        <w:tc>
          <w:tcPr>
            <w:tcW w:type="dxa" w:w="6350"/>
          </w:tcPr>
          <w:p>
            <w:pPr>
              <w:keepNext/>
            </w:pPr>
            <w:r/>
            <w:r>
              <w:rPr>
                <w:sz w:val="18"/>
              </w:rPr>
              <w:t>6</w:t>
            </w:r>
          </w:p>
        </w:tc>
      </w:tr>
      <w:tr>
        <w:trPr>
          <w:cantSplit w:val="true"/>
        </w:trPr>
        <w:tc>
          <w:tcPr>
            <w:tcW w:type="dxa" w:w="2835"/>
          </w:tcPr>
          <w:p>
            <w:pPr>
              <w:keepNext/>
            </w:pPr>
            <w:r/>
            <w:r>
              <w:rPr>
                <w:sz w:val="18"/>
              </w:rPr>
              <w:t>Professor orientador</w:t>
            </w:r>
          </w:p>
        </w:tc>
        <w:tc>
          <w:tcPr>
            <w:tcW w:type="dxa" w:w="6350"/>
          </w:tcPr>
          <w:p>
            <w:pPr>
              <w:keepNext/>
            </w:pPr>
            <w:r/>
            <w:r>
              <w:rPr>
                <w:sz w:val="18"/>
              </w:rPr>
              <w:t>Luis Pires</w:t>
            </w:r>
          </w:p>
        </w:tc>
      </w:tr>
      <w:tr>
        <w:trPr>
          <w:cantSplit w:val="true"/>
        </w:trPr>
        <w:tc>
          <w:tcPr>
            <w:tcW w:type="dxa" w:w="2835"/>
          </w:tcPr>
          <w:p>
            <w:pPr>
              <w:keepNext/>
            </w:pPr>
            <w:r/>
            <w:r>
              <w:rPr>
                <w:sz w:val="18"/>
              </w:rPr>
              <w:t>Integrantes</w:t>
            </w:r>
          </w:p>
        </w:tc>
        <w:tc>
          <w:tcPr>
            <w:tcW w:type="dxa" w:w="6350"/>
          </w:tcPr>
          <w:p>
            <w:pPr>
              <w:keepNext/>
            </w:pPr>
            <w:r/>
            <w:r>
              <w:rPr>
                <w:sz w:val="18"/>
              </w:rPr>
              <w:t>Gustavo Pires, Lúcio Vecchio, Luiz Henrique, Eric Aloise</w:t>
            </w:r>
          </w:p>
        </w:tc>
      </w:tr>
      <w:tr>
        <w:trPr>
          <w:cantSplit w:val="true"/>
        </w:trPr>
        <w:tc>
          <w:tcPr>
            <w:tcW w:type="dxa" w:w="2835"/>
          </w:tcPr>
          <w:p>
            <w:r/>
            <w:r>
              <w:rPr>
                <w:sz w:val="18"/>
              </w:rPr>
              <w:t>Repositório</w:t>
            </w:r>
          </w:p>
        </w:tc>
        <w:tc>
          <w:tcPr>
            <w:tcW w:type="dxa" w:w="6350"/>
          </w:tcPr>
          <w:p>
            <w:r/>
            <w:r>
              <w:rPr>
                <w:sz w:val="18"/>
              </w:rPr>
              <w:t>github.com/2026-2-NCC4/Projeto6</w:t>
            </w:r>
          </w:p>
        </w:tc>
      </w:tr>
    </w:tbl>
    <w:p/>
    <w:p>
      <w:r>
        <w:br w:type="page"/>
      </w:r>
    </w:p>
    <w:p>
      <w:pPr>
        <w:pStyle w:val="Heading1"/>
      </w:pPr>
      <w:r>
        <w:rPr>
          <w:color w:val="1F3B57"/>
        </w:rPr>
        <w:t>1. Objetivo e escopo</w:t>
      </w:r>
    </w:p>
    <w:p>
      <w:r>
        <w:rPr>
          <w:b w:val="0"/>
        </w:rPr>
        <w:t>A CTI Global trabalha com planejamento e controle financeiro. Para este projeto, ela cedeu uma base com a projeção financeira de uma concessionária de infraestrutura. Nosso trabalho é transformar esses números em informação que sustente uma decisão: entender como a operação se comporta ao longo do contrato, comparar os cenários projetados e avaliar risco e retorno até o encerramento da concessão.</w:t>
      </w:r>
    </w:p>
    <w:p>
      <w:r>
        <w:rPr>
          <w:b w:val="0"/>
        </w:rPr>
        <w:t>A solução é analítica. Ela cataloga a fonte, prepara os dados, calcula estatísticas e indicadores financeiros, gera relatórios e publica um painel interativo. Não há cadastro, faturamento, login de usuário nem qualquer escrita no modelo financeiro da CTI. A base original é aberta somente para leitura, e cada transformação gera um arquivo novo.</w:t>
      </w:r>
    </w:p>
    <w:p>
      <w:r>
        <w:rPr>
          <w:b w:val="0"/>
        </w:rPr>
        <w:t>Também não substituímos o modelo de simulação da empresa. Ele é o ponto de partida do nosso trabalho, não o resultado dele.</w:t>
      </w:r>
    </w:p>
    <w:p>
      <w:pPr>
        <w:keepNext/>
      </w:pPr>
      <w:r>
        <w:rPr>
          <w:b/>
        </w:rPr>
        <w:t>O que entra em cada entrega:</w:t>
      </w:r>
    </w:p>
    <w:tbl>
      <w:tblPr>
        <w:tblStyle w:val="TableGrid"/>
        <w:tblW w:type="auto" w:w="0"/>
        <w:tblLayout w:type="fixed"/>
        <w:tblLook w:firstColumn="1" w:firstRow="1" w:lastColumn="0" w:lastRow="0" w:noHBand="0" w:noVBand="1" w:val="04A0"/>
      </w:tblPr>
      <w:tblGrid>
        <w:gridCol w:w="4759"/>
        <w:gridCol w:w="4759"/>
      </w:tblGrid>
      <w:tr>
        <w:trPr>
          <w:cantSplit w:val="true"/>
          <w:tblHeader w:val="true"/>
        </w:trPr>
        <w:tc>
          <w:tcPr>
            <w:tcW w:type="dxa" w:w="2268"/>
          </w:tcPr>
          <w:p>
            <w:pPr>
              <w:keepNext/>
            </w:pPr>
            <w:r/>
            <w:r>
              <w:rPr>
                <w:b/>
                <w:sz w:val="19"/>
              </w:rPr>
              <w:t>Etapa</w:t>
            </w:r>
          </w:p>
        </w:tc>
        <w:tc>
          <w:tcPr>
            <w:tcW w:type="dxa" w:w="6917"/>
          </w:tcPr>
          <w:p>
            <w:pPr>
              <w:keepNext/>
            </w:pPr>
            <w:r/>
            <w:r>
              <w:rPr>
                <w:b/>
                <w:sz w:val="19"/>
              </w:rPr>
              <w:t>Conteúdo</w:t>
            </w:r>
          </w:p>
        </w:tc>
      </w:tr>
      <w:tr>
        <w:trPr>
          <w:cantSplit w:val="true"/>
        </w:trPr>
        <w:tc>
          <w:tcPr>
            <w:tcW w:type="dxa" w:w="2268"/>
          </w:tcPr>
          <w:p>
            <w:pPr>
              <w:keepNext/>
            </w:pPr>
            <w:r/>
            <w:r>
              <w:rPr>
                <w:sz w:val="18"/>
              </w:rPr>
              <w:t>Entrega 1 (25/09/2026)</w:t>
            </w:r>
          </w:p>
        </w:tc>
        <w:tc>
          <w:tcPr>
            <w:tcW w:type="dxa" w:w="6917"/>
          </w:tcPr>
          <w:p>
            <w:pPr>
              <w:keepNext/>
            </w:pPr>
            <w:r/>
            <w:r>
              <w:rPr>
                <w:sz w:val="18"/>
              </w:rPr>
              <w:t>Preparação e exploração dos dados, análise descritiva, dicionário de KPIs com planilha de validação, métodos ágeis e engenharia de requisitos.</w:t>
            </w:r>
          </w:p>
        </w:tc>
      </w:tr>
      <w:tr>
        <w:trPr>
          <w:cantSplit w:val="true"/>
        </w:trPr>
        <w:tc>
          <w:tcPr>
            <w:tcW w:type="dxa" w:w="2268"/>
          </w:tcPr>
          <w:p>
            <w:r/>
            <w:r>
              <w:rPr>
                <w:sz w:val="18"/>
              </w:rPr>
              <w:t>Entrega 2 (06/11/2026)</w:t>
            </w:r>
          </w:p>
        </w:tc>
        <w:tc>
          <w:tcPr>
            <w:tcW w:type="dxa" w:w="6917"/>
          </w:tcPr>
          <w:p>
            <w:r/>
            <w:r>
              <w:rPr>
                <w:sz w:val="18"/>
              </w:rPr>
              <w:t>Regressão, painel publicado na nuvem com pelo menos cinco indicadores, análise de sensibilidade, design de software e diagramas UML.</w:t>
            </w:r>
          </w:p>
        </w:tc>
      </w:tr>
    </w:tbl>
    <w:p/>
    <w:p>
      <w:pPr>
        <w:pStyle w:val="Heading1"/>
      </w:pPr>
      <w:r>
        <w:rPr>
          <w:color w:val="1F3B57"/>
        </w:rPr>
        <w:t>2. O produto e a base de dados</w:t>
      </w:r>
    </w:p>
    <w:p>
      <w:r>
        <w:rPr>
          <w:b w:val="0"/>
        </w:rPr>
        <w:t>A base recebida, o arquivo Demonstrativo Fecap v3.csv, tem 1.002.000 registros. A CTI explicou que são dados projetados, e não históricos, e que os 1.200 cenários vêm de uma simulação de Monte Carlo. Cada cenário é um futuro possível para a mesma concessão, e não uma empresa diferente. Por convenção adotada para o trabalho, o Ano 1 corresponde a 2027 e o Ano 12 a 2038, quando o contrato se encerra.</w:t>
      </w:r>
    </w:p>
    <w:tbl>
      <w:tblPr>
        <w:tblStyle w:val="TableGrid"/>
        <w:tblW w:type="auto" w:w="0"/>
        <w:tblLayout w:type="fixed"/>
        <w:tblLook w:firstColumn="1" w:firstRow="1" w:lastColumn="0" w:lastRow="0" w:noHBand="0" w:noVBand="1" w:val="04A0"/>
      </w:tblPr>
      <w:tblGrid>
        <w:gridCol w:w="4759"/>
        <w:gridCol w:w="4759"/>
      </w:tblGrid>
      <w:tr>
        <w:trPr>
          <w:cantSplit w:val="true"/>
          <w:tblHeader w:val="true"/>
        </w:trPr>
        <w:tc>
          <w:tcPr>
            <w:tcW w:type="dxa" w:w="2268"/>
          </w:tcPr>
          <w:p>
            <w:pPr>
              <w:keepNext/>
            </w:pPr>
            <w:r/>
            <w:r>
              <w:rPr>
                <w:b/>
                <w:sz w:val="19"/>
              </w:rPr>
              <w:t>Característica</w:t>
            </w:r>
          </w:p>
        </w:tc>
        <w:tc>
          <w:tcPr>
            <w:tcW w:type="dxa" w:w="6917"/>
          </w:tcPr>
          <w:p>
            <w:pPr>
              <w:keepNext/>
            </w:pPr>
            <w:r/>
            <w:r>
              <w:rPr>
                <w:b/>
                <w:sz w:val="19"/>
              </w:rPr>
              <w:t>Descrição</w:t>
            </w:r>
          </w:p>
        </w:tc>
      </w:tr>
      <w:tr>
        <w:trPr>
          <w:cantSplit w:val="true"/>
        </w:trPr>
        <w:tc>
          <w:tcPr>
            <w:tcW w:type="dxa" w:w="2268"/>
          </w:tcPr>
          <w:p>
            <w:pPr>
              <w:keepNext/>
            </w:pPr>
            <w:r/>
            <w:r>
              <w:rPr>
                <w:sz w:val="18"/>
              </w:rPr>
              <w:t>Estrutura</w:t>
            </w:r>
          </w:p>
        </w:tc>
        <w:tc>
          <w:tcPr>
            <w:tcW w:type="dxa" w:w="6917"/>
          </w:tcPr>
          <w:p>
            <w:pPr>
              <w:keepNext/>
            </w:pPr>
            <w:r/>
            <w:r>
              <w:rPr>
                <w:sz w:val="18"/>
              </w:rPr>
              <w:t>Quatro campos: ano, cenário, conta e valor. Arquivo sem cabeçalho, separado por ponto e vírgula, codificação latin-1 e números em formato brasileiro.</w:t>
            </w:r>
          </w:p>
        </w:tc>
      </w:tr>
      <w:tr>
        <w:trPr>
          <w:cantSplit w:val="true"/>
        </w:trPr>
        <w:tc>
          <w:tcPr>
            <w:tcW w:type="dxa" w:w="2268"/>
          </w:tcPr>
          <w:p>
            <w:pPr>
              <w:keepNext/>
            </w:pPr>
            <w:r/>
            <w:r>
              <w:rPr>
                <w:sz w:val="18"/>
              </w:rPr>
              <w:t>Dimensões</w:t>
            </w:r>
          </w:p>
        </w:tc>
        <w:tc>
          <w:tcPr>
            <w:tcW w:type="dxa" w:w="6917"/>
          </w:tcPr>
          <w:p>
            <w:pPr>
              <w:keepNext/>
            </w:pPr>
            <w:r/>
            <w:r>
              <w:rPr>
                <w:sz w:val="18"/>
              </w:rPr>
              <w:t>12 anos de horizonte, 1.200 cenários e 69 contas, o que dá 14.400 combinações de ano e cenário.</w:t>
            </w:r>
          </w:p>
        </w:tc>
      </w:tr>
      <w:tr>
        <w:trPr>
          <w:cantSplit w:val="true"/>
        </w:trPr>
        <w:tc>
          <w:tcPr>
            <w:tcW w:type="dxa" w:w="2268"/>
          </w:tcPr>
          <w:p>
            <w:pPr>
              <w:keepNext/>
            </w:pPr>
            <w:r/>
            <w:r>
              <w:rPr>
                <w:sz w:val="18"/>
              </w:rPr>
              <w:t>Blocos de conta</w:t>
            </w:r>
          </w:p>
        </w:tc>
        <w:tc>
          <w:tcPr>
            <w:tcW w:type="dxa" w:w="6917"/>
          </w:tcPr>
          <w:p>
            <w:pPr>
              <w:keepNext/>
            </w:pPr>
            <w:r/>
            <w:r>
              <w:rPr>
                <w:sz w:val="18"/>
              </w:rPr>
              <w:t>BAL, balanço patrimonial, com 43 contas. DRE, demonstração do resultado, com 14. FLU, fluxo de caixa, com 12.</w:t>
            </w:r>
          </w:p>
        </w:tc>
      </w:tr>
      <w:tr>
        <w:trPr>
          <w:cantSplit w:val="true"/>
        </w:trPr>
        <w:tc>
          <w:tcPr>
            <w:tcW w:type="dxa" w:w="2268"/>
          </w:tcPr>
          <w:p>
            <w:pPr>
              <w:keepNext/>
            </w:pPr>
            <w:r/>
            <w:r>
              <w:rPr>
                <w:sz w:val="18"/>
              </w:rPr>
              <w:t>Convenção de sinais</w:t>
            </w:r>
          </w:p>
        </w:tc>
        <w:tc>
          <w:tcPr>
            <w:tcW w:type="dxa" w:w="6917"/>
          </w:tcPr>
          <w:p>
            <w:pPr>
              <w:keepNext/>
            </w:pPr>
            <w:r/>
            <w:r>
              <w:rPr>
                <w:sz w:val="18"/>
              </w:rPr>
              <w:t>Em regra, no balanço, o ativo é positivo e o passivo total e o patrimônio líquido são negativos; na DRE e no fluxo, entradas são positivas e saídas são negativas. Há exceções: as contas redutoras do ativo são negativas, o passivo circulante é positivo em 62% dos registros e, no Ano 12, os totais do balanço podem inverter de sinal.</w:t>
            </w:r>
          </w:p>
        </w:tc>
      </w:tr>
      <w:tr>
        <w:trPr>
          <w:cantSplit w:val="true"/>
        </w:trPr>
        <w:tc>
          <w:tcPr>
            <w:tcW w:type="dxa" w:w="2268"/>
          </w:tcPr>
          <w:p>
            <w:r/>
            <w:r>
              <w:rPr>
                <w:sz w:val="18"/>
              </w:rPr>
              <w:t>Encerramento</w:t>
            </w:r>
          </w:p>
        </w:tc>
        <w:tc>
          <w:tcPr>
            <w:tcW w:type="dxa" w:w="6917"/>
          </w:tcPr>
          <w:p>
            <w:r/>
            <w:r>
              <w:rPr>
                <w:sz w:val="18"/>
              </w:rPr>
              <w:t>O Ano 12 traz 42 contas. A CTI informou que ele é o encerramento da concessão, com a liquidação de direitos e obrigações.</w:t>
            </w:r>
          </w:p>
        </w:tc>
      </w:tr>
    </w:tbl>
    <w:p/>
    <w:p>
      <w:r>
        <w:rPr>
          <w:b w:val="0"/>
        </w:rPr>
        <w:t>A fronteira do sistema começa na leitura de uma cópia autorizada da base e termina na publicação dos resultados aprovados. A CTI e os professores ficam fora dessa fronteira: são quem fornece os dados e quem valida os critérios.</w:t>
      </w:r>
    </w:p>
    <w:p>
      <w:pPr>
        <w:pStyle w:val="Heading1"/>
      </w:pPr>
      <w:r>
        <w:rPr>
          <w:color w:val="1F3B57"/>
        </w:rPr>
        <w:t>3. Métodos ágeis aplicados</w:t>
      </w:r>
    </w:p>
    <w:p>
      <w:r>
        <w:rPr>
          <w:b w:val="0"/>
        </w:rPr>
        <w:t>O grupo organiza o trabalho com Kanban. A escolha veio do formato do trabalho: quatro frentes com datas fixas que não podemos mudar, equipe pequena, trabalho em fluxo contínuo e várias tarefas que dependem de resposta da empresa ou do professor. Kanban permite limitar quantas coisas ficam abertas ao mesmo tempo e deixar os bloqueios visíveis. Scrum traria sprints e cerimônias que não correspondem à nossa rotina, e adotá-lo apenas no papel seria fingir um processo.</w:t>
      </w:r>
    </w:p>
    <w:tbl>
      <w:tblPr>
        <w:tblStyle w:val="TableGrid"/>
        <w:tblW w:type="auto" w:w="0"/>
        <w:tblLayout w:type="fixed"/>
        <w:tblLook w:firstColumn="1" w:firstRow="1" w:lastColumn="0" w:lastRow="0" w:noHBand="0" w:noVBand="1" w:val="04A0"/>
      </w:tblPr>
      <w:tblGrid>
        <w:gridCol w:w="4759"/>
        <w:gridCol w:w="4759"/>
      </w:tblGrid>
      <w:tr>
        <w:trPr>
          <w:cantSplit w:val="true"/>
          <w:tblHeader w:val="true"/>
        </w:trPr>
        <w:tc>
          <w:tcPr>
            <w:tcW w:type="dxa" w:w="1701"/>
          </w:tcPr>
          <w:p>
            <w:pPr>
              <w:keepNext/>
            </w:pPr>
            <w:r/>
            <w:r>
              <w:rPr>
                <w:b/>
                <w:sz w:val="19"/>
              </w:rPr>
              <w:t>Estado</w:t>
            </w:r>
          </w:p>
        </w:tc>
        <w:tc>
          <w:tcPr>
            <w:tcW w:type="dxa" w:w="7483"/>
          </w:tcPr>
          <w:p>
            <w:pPr>
              <w:keepNext/>
            </w:pPr>
            <w:r/>
            <w:r>
              <w:rPr>
                <w:b/>
                <w:sz w:val="19"/>
              </w:rPr>
              <w:t>Quando um item entra nele</w:t>
            </w:r>
          </w:p>
        </w:tc>
      </w:tr>
      <w:tr>
        <w:trPr>
          <w:cantSplit w:val="true"/>
        </w:trPr>
        <w:tc>
          <w:tcPr>
            <w:tcW w:type="dxa" w:w="1701"/>
          </w:tcPr>
          <w:p>
            <w:pPr>
              <w:keepNext/>
            </w:pPr>
            <w:r/>
            <w:r>
              <w:rPr>
                <w:sz w:val="18"/>
              </w:rPr>
              <w:t>A fazer</w:t>
            </w:r>
          </w:p>
        </w:tc>
        <w:tc>
          <w:tcPr>
            <w:tcW w:type="dxa" w:w="7483"/>
          </w:tcPr>
          <w:p>
            <w:pPr>
              <w:keepNext/>
            </w:pPr>
            <w:r/>
            <w:r>
              <w:rPr>
                <w:sz w:val="18"/>
              </w:rPr>
              <w:t>O item está descrito, tem resultado esperado e uma frente responsável: Dados, Estatística, Finanças ou Engenharia.</w:t>
            </w:r>
          </w:p>
        </w:tc>
      </w:tr>
      <w:tr>
        <w:trPr>
          <w:cantSplit w:val="true"/>
        </w:trPr>
        <w:tc>
          <w:tcPr>
            <w:tcW w:type="dxa" w:w="1701"/>
          </w:tcPr>
          <w:p>
            <w:pPr>
              <w:keepNext/>
            </w:pPr>
            <w:r/>
            <w:r>
              <w:rPr>
                <w:sz w:val="18"/>
              </w:rPr>
              <w:t>Em andamento</w:t>
            </w:r>
          </w:p>
        </w:tc>
        <w:tc>
          <w:tcPr>
            <w:tcW w:type="dxa" w:w="7483"/>
          </w:tcPr>
          <w:p>
            <w:pPr>
              <w:keepNext/>
            </w:pPr>
            <w:r/>
            <w:r>
              <w:rPr>
                <w:sz w:val="18"/>
              </w:rPr>
              <w:t>Tem responsável, a fonte está disponível e o critério de pronto está escrito. No máximo dois itens por frente ao mesmo tempo.</w:t>
            </w:r>
          </w:p>
        </w:tc>
      </w:tr>
      <w:tr>
        <w:trPr>
          <w:cantSplit w:val="true"/>
        </w:trPr>
        <w:tc>
          <w:tcPr>
            <w:tcW w:type="dxa" w:w="1701"/>
          </w:tcPr>
          <w:p>
            <w:pPr>
              <w:keepNext/>
            </w:pPr>
            <w:r/>
            <w:r>
              <w:rPr>
                <w:sz w:val="18"/>
              </w:rPr>
              <w:t>Bloqueado</w:t>
            </w:r>
          </w:p>
        </w:tc>
        <w:tc>
          <w:tcPr>
            <w:tcW w:type="dxa" w:w="7483"/>
          </w:tcPr>
          <w:p>
            <w:pPr>
              <w:keepNext/>
            </w:pPr>
            <w:r/>
            <w:r>
              <w:rPr>
                <w:sz w:val="18"/>
              </w:rPr>
              <w:t>Marcação aplicada sem tirar o item do estado atual, indicando qual resposta externa falta.</w:t>
            </w:r>
          </w:p>
        </w:tc>
      </w:tr>
      <w:tr>
        <w:trPr>
          <w:cantSplit w:val="true"/>
        </w:trPr>
        <w:tc>
          <w:tcPr>
            <w:tcW w:type="dxa" w:w="1701"/>
          </w:tcPr>
          <w:p>
            <w:pPr>
              <w:keepNext/>
            </w:pPr>
            <w:r/>
            <w:r>
              <w:rPr>
                <w:sz w:val="18"/>
              </w:rPr>
              <w:t>Em revisão</w:t>
            </w:r>
          </w:p>
        </w:tc>
        <w:tc>
          <w:tcPr>
            <w:tcW w:type="dxa" w:w="7483"/>
          </w:tcPr>
          <w:p>
            <w:pPr>
              <w:keepNext/>
            </w:pPr>
            <w:r/>
            <w:r>
              <w:rPr>
                <w:sz w:val="18"/>
              </w:rPr>
              <w:t>Existe um artefato que outra pessoa consegue executar ou ler.</w:t>
            </w:r>
          </w:p>
        </w:tc>
      </w:tr>
      <w:tr>
        <w:trPr>
          <w:cantSplit w:val="true"/>
        </w:trPr>
        <w:tc>
          <w:tcPr>
            <w:tcW w:type="dxa" w:w="1701"/>
          </w:tcPr>
          <w:p>
            <w:r/>
            <w:r>
              <w:rPr>
                <w:sz w:val="18"/>
              </w:rPr>
              <w:t>Concluído</w:t>
            </w:r>
          </w:p>
        </w:tc>
        <w:tc>
          <w:tcPr>
            <w:tcW w:type="dxa" w:w="7483"/>
          </w:tcPr>
          <w:p>
            <w:r/>
            <w:r>
              <w:rPr>
                <w:sz w:val="18"/>
              </w:rPr>
              <w:t>O critério de pronto foi atendido, a evidência está vinculada e a revisão aconteceu.</w:t>
            </w:r>
          </w:p>
        </w:tc>
      </w:tr>
    </w:tbl>
    <w:p/>
    <w:p>
      <w:r>
        <w:rPr>
          <w:b w:val="0"/>
        </w:rPr>
        <w:t>A aplicação do método aparece no repositório: o trabalho foi entregue em incrementos pequenos e verificáveis, um commit por resultado, entre 21 de agosto e 22 de setembro. A etapa de revisão impediu duas vezes que um item fosse dado como concluído. Na primeira, uma verificação contábil errada foi corrigida antes de virar achado; o caso está na seção 12. Na segunda, a revisão cruzada de 22 de setembro devolveu a entrega de Ciência de Dados para Em andamento: o relatório tinha conclusões que os dados não sustentavam, e os notebooks exibiam linhas da base num repositório público. As duas correções estão no histórico de commits.</w:t>
      </w:r>
    </w:p>
    <w:p>
      <w:pPr>
        <w:pStyle w:val="Heading1"/>
      </w:pPr>
      <w:r>
        <w:rPr>
          <w:color w:val="1F3B57"/>
        </w:rPr>
        <w:t>4. Stakeholders e necessidades</w:t>
      </w:r>
    </w:p>
    <w:p>
      <w:r>
        <w:rPr>
          <w:b w:val="0"/>
        </w:rPr>
        <w:t>A elicitação foi feita por leitura e consulta, não por entrevista. Usamos o enunciado do projeto, as orientações que a CTI enviou sobre a natureza da base, o material das disciplinas envolvidas e a inspeção direta dos dados.</w:t>
      </w:r>
    </w:p>
    <w:tbl>
      <w:tblPr>
        <w:tblStyle w:val="TableGrid"/>
        <w:tblW w:type="auto" w:w="0"/>
        <w:tblLayout w:type="fixed"/>
        <w:tblLook w:firstColumn="1" w:firstRow="1" w:lastColumn="0" w:lastRow="0" w:noHBand="0" w:noVBand="1" w:val="04A0"/>
      </w:tblPr>
      <w:tblGrid>
        <w:gridCol w:w="3173"/>
        <w:gridCol w:w="3173"/>
        <w:gridCol w:w="3173"/>
      </w:tblGrid>
      <w:tr>
        <w:trPr>
          <w:cantSplit w:val="true"/>
          <w:tblHeader w:val="true"/>
        </w:trPr>
        <w:tc>
          <w:tcPr>
            <w:tcW w:type="dxa" w:w="2268"/>
          </w:tcPr>
          <w:p>
            <w:pPr>
              <w:keepNext/>
            </w:pPr>
            <w:r/>
            <w:r>
              <w:rPr>
                <w:b/>
                <w:sz w:val="19"/>
              </w:rPr>
              <w:t>Stakeholder</w:t>
            </w:r>
          </w:p>
        </w:tc>
        <w:tc>
          <w:tcPr>
            <w:tcW w:type="dxa" w:w="3458"/>
          </w:tcPr>
          <w:p>
            <w:pPr>
              <w:keepNext/>
            </w:pPr>
            <w:r/>
            <w:r>
              <w:rPr>
                <w:b/>
                <w:sz w:val="19"/>
              </w:rPr>
              <w:t>Interesse</w:t>
            </w:r>
          </w:p>
        </w:tc>
        <w:tc>
          <w:tcPr>
            <w:tcW w:type="dxa" w:w="3458"/>
          </w:tcPr>
          <w:p>
            <w:pPr>
              <w:keepNext/>
            </w:pPr>
            <w:r/>
            <w:r>
              <w:rPr>
                <w:b/>
                <w:sz w:val="19"/>
              </w:rPr>
              <w:t>Como participa</w:t>
            </w:r>
          </w:p>
        </w:tc>
      </w:tr>
      <w:tr>
        <w:trPr>
          <w:cantSplit w:val="true"/>
        </w:trPr>
        <w:tc>
          <w:tcPr>
            <w:tcW w:type="dxa" w:w="2268"/>
          </w:tcPr>
          <w:p>
            <w:pPr>
              <w:keepNext/>
            </w:pPr>
            <w:r/>
            <w:r>
              <w:rPr>
                <w:sz w:val="18"/>
              </w:rPr>
              <w:t>CTI Global</w:t>
            </w:r>
          </w:p>
        </w:tc>
        <w:tc>
          <w:tcPr>
            <w:tcW w:type="dxa" w:w="3458"/>
          </w:tcPr>
          <w:p>
            <w:pPr>
              <w:keepNext/>
            </w:pPr>
            <w:r/>
            <w:r>
              <w:rPr>
                <w:sz w:val="18"/>
              </w:rPr>
              <w:t>Integridade dos dados, interpretação correta e confidencialidade</w:t>
            </w:r>
          </w:p>
        </w:tc>
        <w:tc>
          <w:tcPr>
            <w:tcW w:type="dxa" w:w="3458"/>
          </w:tcPr>
          <w:p>
            <w:pPr>
              <w:keepNext/>
            </w:pPr>
            <w:r/>
            <w:r>
              <w:rPr>
                <w:sz w:val="18"/>
              </w:rPr>
              <w:t>Fornece a base e esclarece premissas e limites de divulgação</w:t>
            </w:r>
          </w:p>
        </w:tc>
      </w:tr>
      <w:tr>
        <w:trPr>
          <w:cantSplit w:val="true"/>
        </w:trPr>
        <w:tc>
          <w:tcPr>
            <w:tcW w:type="dxa" w:w="2268"/>
          </w:tcPr>
          <w:p>
            <w:pPr>
              <w:keepNext/>
            </w:pPr>
            <w:r/>
            <w:r>
              <w:rPr>
                <w:sz w:val="18"/>
              </w:rPr>
              <w:t>Professores</w:t>
            </w:r>
          </w:p>
        </w:tc>
        <w:tc>
          <w:tcPr>
            <w:tcW w:type="dxa" w:w="3458"/>
          </w:tcPr>
          <w:p>
            <w:pPr>
              <w:keepNext/>
            </w:pPr>
            <w:r/>
            <w:r>
              <w:rPr>
                <w:sz w:val="18"/>
              </w:rPr>
              <w:t>Evidência de que as disciplinas foram aplicadas</w:t>
            </w:r>
          </w:p>
        </w:tc>
        <w:tc>
          <w:tcPr>
            <w:tcW w:type="dxa" w:w="3458"/>
          </w:tcPr>
          <w:p>
            <w:pPr>
              <w:keepNext/>
            </w:pPr>
            <w:r/>
            <w:r>
              <w:rPr>
                <w:sz w:val="18"/>
              </w:rPr>
              <w:t>Validam critérios, fórmulas e formatos</w:t>
            </w:r>
          </w:p>
        </w:tc>
      </w:tr>
      <w:tr>
        <w:trPr>
          <w:cantSplit w:val="true"/>
        </w:trPr>
        <w:tc>
          <w:tcPr>
            <w:tcW w:type="dxa" w:w="2268"/>
          </w:tcPr>
          <w:p>
            <w:pPr>
              <w:keepNext/>
            </w:pPr>
            <w:r/>
            <w:r>
              <w:rPr>
                <w:sz w:val="18"/>
              </w:rPr>
              <w:t>Usuário financeiro, como CFO ou controladoria</w:t>
            </w:r>
          </w:p>
        </w:tc>
        <w:tc>
          <w:tcPr>
            <w:tcW w:type="dxa" w:w="3458"/>
          </w:tcPr>
          <w:p>
            <w:pPr>
              <w:keepNext/>
            </w:pPr>
            <w:r/>
            <w:r>
              <w:rPr>
                <w:sz w:val="18"/>
              </w:rPr>
              <w:t>Comparar cenários, margens e capacidade de pagamento</w:t>
            </w:r>
          </w:p>
        </w:tc>
        <w:tc>
          <w:tcPr>
            <w:tcW w:type="dxa" w:w="3458"/>
          </w:tcPr>
          <w:p>
            <w:pPr>
              <w:keepNext/>
            </w:pPr>
            <w:r/>
            <w:r>
              <w:rPr>
                <w:sz w:val="18"/>
              </w:rPr>
              <w:t>Valida indicadores e interpretação</w:t>
            </w:r>
          </w:p>
        </w:tc>
      </w:tr>
      <w:tr>
        <w:trPr>
          <w:cantSplit w:val="true"/>
        </w:trPr>
        <w:tc>
          <w:tcPr>
            <w:tcW w:type="dxa" w:w="2268"/>
          </w:tcPr>
          <w:p>
            <w:pPr>
              <w:keepNext/>
            </w:pPr>
            <w:r/>
            <w:r>
              <w:rPr>
                <w:sz w:val="18"/>
              </w:rPr>
              <w:t>Acionistas e credores</w:t>
            </w:r>
          </w:p>
        </w:tc>
        <w:tc>
          <w:tcPr>
            <w:tcW w:type="dxa" w:w="3458"/>
          </w:tcPr>
          <w:p>
            <w:pPr>
              <w:keepNext/>
            </w:pPr>
            <w:r/>
            <w:r>
              <w:rPr>
                <w:sz w:val="18"/>
              </w:rPr>
              <w:t>Retorno esperado e risco de liquidez até o encerramento</w:t>
            </w:r>
          </w:p>
        </w:tc>
        <w:tc>
          <w:tcPr>
            <w:tcW w:type="dxa" w:w="3458"/>
          </w:tcPr>
          <w:p>
            <w:pPr>
              <w:keepNext/>
            </w:pPr>
            <w:r/>
            <w:r>
              <w:rPr>
                <w:sz w:val="18"/>
              </w:rPr>
              <w:t>São as perspectivas de análise propostas para o recorte, a confirmar com os professores e a CTI</w:t>
            </w:r>
          </w:p>
        </w:tc>
      </w:tr>
      <w:tr>
        <w:trPr>
          <w:cantSplit w:val="true"/>
        </w:trPr>
        <w:tc>
          <w:tcPr>
            <w:tcW w:type="dxa" w:w="2268"/>
          </w:tcPr>
          <w:p>
            <w:r/>
            <w:r>
              <w:rPr>
                <w:sz w:val="18"/>
              </w:rPr>
              <w:t>Equipe do projeto</w:t>
            </w:r>
          </w:p>
        </w:tc>
        <w:tc>
          <w:tcPr>
            <w:tcW w:type="dxa" w:w="3458"/>
          </w:tcPr>
          <w:p>
            <w:r/>
            <w:r>
              <w:rPr>
                <w:sz w:val="18"/>
              </w:rPr>
              <w:t>Execução reproduzível e integração entre as frentes</w:t>
            </w:r>
          </w:p>
        </w:tc>
        <w:tc>
          <w:tcPr>
            <w:tcW w:type="dxa" w:w="3458"/>
          </w:tcPr>
          <w:p>
            <w:r/>
            <w:r>
              <w:rPr>
                <w:sz w:val="18"/>
              </w:rPr>
              <w:t>Implementa, documenta e revisa</w:t>
            </w:r>
          </w:p>
        </w:tc>
      </w:tr>
    </w:tbl>
    <w:p/>
    <w:tbl>
      <w:tblPr>
        <w:tblStyle w:val="TableGrid"/>
        <w:tblW w:type="auto" w:w="0"/>
        <w:tblLayout w:type="fixed"/>
        <w:tblLook w:firstColumn="1" w:firstRow="1" w:lastColumn="0" w:lastRow="0" w:noHBand="0" w:noVBand="1" w:val="04A0"/>
      </w:tblPr>
      <w:tblGrid>
        <w:gridCol w:w="3173"/>
        <w:gridCol w:w="3173"/>
        <w:gridCol w:w="3173"/>
      </w:tblGrid>
      <w:tr>
        <w:trPr>
          <w:cantSplit w:val="true"/>
          <w:tblHeader w:val="true"/>
        </w:trPr>
        <w:tc>
          <w:tcPr>
            <w:tcW w:type="dxa" w:w="907"/>
          </w:tcPr>
          <w:p>
            <w:pPr>
              <w:keepNext/>
            </w:pPr>
            <w:r/>
            <w:r>
              <w:rPr>
                <w:b/>
                <w:sz w:val="19"/>
              </w:rPr>
              <w:t>ID</w:t>
            </w:r>
          </w:p>
        </w:tc>
        <w:tc>
          <w:tcPr>
            <w:tcW w:type="dxa" w:w="6236"/>
          </w:tcPr>
          <w:p>
            <w:pPr>
              <w:keepNext/>
            </w:pPr>
            <w:r/>
            <w:r>
              <w:rPr>
                <w:b/>
                <w:sz w:val="19"/>
              </w:rPr>
              <w:t>Necessidade</w:t>
            </w:r>
          </w:p>
        </w:tc>
        <w:tc>
          <w:tcPr>
            <w:tcW w:type="dxa" w:w="2041"/>
          </w:tcPr>
          <w:p>
            <w:pPr>
              <w:keepNext/>
            </w:pPr>
            <w:r/>
            <w:r>
              <w:rPr>
                <w:b/>
                <w:sz w:val="19"/>
              </w:rPr>
              <w:t>Requisitos</w:t>
            </w:r>
          </w:p>
        </w:tc>
      </w:tr>
      <w:tr>
        <w:trPr>
          <w:cantSplit w:val="true"/>
        </w:trPr>
        <w:tc>
          <w:tcPr>
            <w:tcW w:type="dxa" w:w="907"/>
          </w:tcPr>
          <w:p>
            <w:pPr>
              <w:keepNext/>
            </w:pPr>
            <w:r/>
            <w:r>
              <w:rPr>
                <w:sz w:val="18"/>
              </w:rPr>
              <w:t>RU01</w:t>
            </w:r>
          </w:p>
        </w:tc>
        <w:tc>
          <w:tcPr>
            <w:tcW w:type="dxa" w:w="6236"/>
          </w:tcPr>
          <w:p>
            <w:pPr>
              <w:keepNext/>
            </w:pPr>
            <w:r/>
            <w:r>
              <w:rPr>
                <w:sz w:val="18"/>
              </w:rPr>
              <w:t>Conhecer e preparar a fonte sem alterá-la</w:t>
            </w:r>
          </w:p>
        </w:tc>
        <w:tc>
          <w:tcPr>
            <w:tcW w:type="dxa" w:w="2041"/>
          </w:tcPr>
          <w:p>
            <w:pPr>
              <w:keepNext/>
            </w:pPr>
            <w:r/>
            <w:r>
              <w:rPr>
                <w:sz w:val="18"/>
              </w:rPr>
              <w:t>RF01 a RF05</w:t>
            </w:r>
          </w:p>
        </w:tc>
      </w:tr>
      <w:tr>
        <w:trPr>
          <w:cantSplit w:val="true"/>
        </w:trPr>
        <w:tc>
          <w:tcPr>
            <w:tcW w:type="dxa" w:w="907"/>
          </w:tcPr>
          <w:p>
            <w:pPr>
              <w:keepNext/>
            </w:pPr>
            <w:r/>
            <w:r>
              <w:rPr>
                <w:sz w:val="18"/>
              </w:rPr>
              <w:t>RU02</w:t>
            </w:r>
          </w:p>
        </w:tc>
        <w:tc>
          <w:tcPr>
            <w:tcW w:type="dxa" w:w="6236"/>
          </w:tcPr>
          <w:p>
            <w:pPr>
              <w:keepNext/>
            </w:pPr>
            <w:r/>
            <w:r>
              <w:rPr>
                <w:sz w:val="18"/>
              </w:rPr>
              <w:t>Entender distribuição, variabilidade e relações entre variáveis, com as limitações explícitas</w:t>
            </w:r>
          </w:p>
        </w:tc>
        <w:tc>
          <w:tcPr>
            <w:tcW w:type="dxa" w:w="2041"/>
          </w:tcPr>
          <w:p>
            <w:pPr>
              <w:keepNext/>
            </w:pPr>
            <w:r/>
            <w:r>
              <w:rPr>
                <w:sz w:val="18"/>
              </w:rPr>
              <w:t>RF06 e RF07</w:t>
            </w:r>
          </w:p>
        </w:tc>
      </w:tr>
      <w:tr>
        <w:trPr>
          <w:cantSplit w:val="true"/>
        </w:trPr>
        <w:tc>
          <w:tcPr>
            <w:tcW w:type="dxa" w:w="907"/>
          </w:tcPr>
          <w:p>
            <w:pPr>
              <w:keepNext/>
            </w:pPr>
            <w:r/>
            <w:r>
              <w:rPr>
                <w:sz w:val="18"/>
              </w:rPr>
              <w:t>RU03</w:t>
            </w:r>
          </w:p>
        </w:tc>
        <w:tc>
          <w:tcPr>
            <w:tcW w:type="dxa" w:w="6236"/>
          </w:tcPr>
          <w:p>
            <w:pPr>
              <w:keepNext/>
            </w:pPr>
            <w:r/>
            <w:r>
              <w:rPr>
                <w:sz w:val="18"/>
              </w:rPr>
              <w:t>Consultar demonstrativos, índices e classificação de cenários com regras claras</w:t>
            </w:r>
          </w:p>
        </w:tc>
        <w:tc>
          <w:tcPr>
            <w:tcW w:type="dxa" w:w="2041"/>
          </w:tcPr>
          <w:p>
            <w:pPr>
              <w:keepNext/>
            </w:pPr>
            <w:r/>
            <w:r>
              <w:rPr>
                <w:sz w:val="18"/>
              </w:rPr>
              <w:t>RF08 e RF15</w:t>
            </w:r>
          </w:p>
        </w:tc>
      </w:tr>
      <w:tr>
        <w:trPr>
          <w:cantSplit w:val="true"/>
        </w:trPr>
        <w:tc>
          <w:tcPr>
            <w:tcW w:type="dxa" w:w="907"/>
          </w:tcPr>
          <w:p>
            <w:pPr>
              <w:keepNext/>
            </w:pPr>
            <w:r/>
            <w:r>
              <w:rPr>
                <w:sz w:val="18"/>
              </w:rPr>
              <w:t>RU04</w:t>
            </w:r>
          </w:p>
        </w:tc>
        <w:tc>
          <w:tcPr>
            <w:tcW w:type="dxa" w:w="6236"/>
          </w:tcPr>
          <w:p>
            <w:pPr>
              <w:keepNext/>
            </w:pPr>
            <w:r/>
            <w:r>
              <w:rPr>
                <w:sz w:val="18"/>
              </w:rPr>
              <w:t>Consultar resultados, filtros, comparações e premissas em um painel</w:t>
            </w:r>
          </w:p>
        </w:tc>
        <w:tc>
          <w:tcPr>
            <w:tcW w:type="dxa" w:w="2041"/>
          </w:tcPr>
          <w:p>
            <w:pPr>
              <w:keepNext/>
            </w:pPr>
            <w:r/>
            <w:r>
              <w:rPr>
                <w:sz w:val="18"/>
              </w:rPr>
              <w:t>RF09 a RF11 e RF13</w:t>
            </w:r>
          </w:p>
        </w:tc>
      </w:tr>
      <w:tr>
        <w:trPr>
          <w:cantSplit w:val="true"/>
        </w:trPr>
        <w:tc>
          <w:tcPr>
            <w:tcW w:type="dxa" w:w="907"/>
          </w:tcPr>
          <w:p>
            <w:r/>
            <w:r>
              <w:rPr>
                <w:sz w:val="18"/>
              </w:rPr>
              <w:t>RU05</w:t>
            </w:r>
          </w:p>
        </w:tc>
        <w:tc>
          <w:tcPr>
            <w:tcW w:type="dxa" w:w="6236"/>
          </w:tcPr>
          <w:p>
            <w:r/>
            <w:r>
              <w:rPr>
                <w:sz w:val="18"/>
              </w:rPr>
              <w:t>Reproduzir a execução e exportar resultados autorizados</w:t>
            </w:r>
          </w:p>
        </w:tc>
        <w:tc>
          <w:tcPr>
            <w:tcW w:type="dxa" w:w="2041"/>
          </w:tcPr>
          <w:p>
            <w:r/>
            <w:r>
              <w:rPr>
                <w:sz w:val="18"/>
              </w:rPr>
              <w:t>RF12 e RF14</w:t>
            </w:r>
          </w:p>
        </w:tc>
      </w:tr>
    </w:tbl>
    <w:p/>
    <w:p>
      <w:pPr>
        <w:pStyle w:val="Heading1"/>
      </w:pPr>
      <w:r>
        <w:rPr>
          <w:color w:val="1F3B57"/>
        </w:rPr>
        <w:t>5. Requisitos funcionais</w:t>
      </w:r>
    </w:p>
    <w:p>
      <w:r>
        <w:rPr>
          <w:b w:val="0"/>
        </w:rPr>
        <w:t>Os identificadores RF01 a RF14 mantêm a numeração do enunciado, que é a origem deles. O RF15 é uma extensão que nasceu da orientação da disciplina de Contabilidade e Finanças. A prioridade é alta para o que o enunciado exige nas entregas e média para o que ele pede quando aplicável ou que ainda depende de definição. A última coluna descreve o que existe no repositório em 22 de setembro de 2026.</w:t>
      </w:r>
    </w:p>
    <w:tbl>
      <w:tblPr>
        <w:tblStyle w:val="TableGrid"/>
        <w:tblW w:type="auto" w:w="0"/>
        <w:tblLayout w:type="fixed"/>
        <w:tblLook w:firstColumn="1" w:firstRow="1" w:lastColumn="0" w:lastRow="0" w:noHBand="0" w:noVBand="1" w:val="04A0"/>
      </w:tblPr>
      <w:tblGrid>
        <w:gridCol w:w="1586"/>
        <w:gridCol w:w="1586"/>
        <w:gridCol w:w="1586"/>
        <w:gridCol w:w="1586"/>
        <w:gridCol w:w="1586"/>
        <w:gridCol w:w="1586"/>
      </w:tblGrid>
      <w:tr>
        <w:trPr>
          <w:cantSplit w:val="true"/>
          <w:tblHeader w:val="true"/>
        </w:trPr>
        <w:tc>
          <w:tcPr>
            <w:tcW w:type="dxa" w:w="680"/>
          </w:tcPr>
          <w:p>
            <w:pPr>
              <w:keepNext/>
            </w:pPr>
            <w:r/>
            <w:r>
              <w:rPr>
                <w:b/>
                <w:sz w:val="19"/>
              </w:rPr>
              <w:t>ID</w:t>
            </w:r>
          </w:p>
        </w:tc>
        <w:tc>
          <w:tcPr>
            <w:tcW w:type="dxa" w:w="4025"/>
          </w:tcPr>
          <w:p>
            <w:pPr>
              <w:keepNext/>
            </w:pPr>
            <w:r/>
            <w:r>
              <w:rPr>
                <w:b/>
                <w:sz w:val="19"/>
              </w:rPr>
              <w:t>Requisito e critério de aceitação</w:t>
            </w:r>
          </w:p>
        </w:tc>
        <w:tc>
          <w:tcPr>
            <w:tcW w:type="dxa" w:w="1134"/>
          </w:tcPr>
          <w:p>
            <w:pPr>
              <w:keepNext/>
            </w:pPr>
            <w:r/>
            <w:r>
              <w:rPr>
                <w:b/>
                <w:sz w:val="19"/>
              </w:rPr>
              <w:t>Origem</w:t>
            </w:r>
          </w:p>
        </w:tc>
        <w:tc>
          <w:tcPr>
            <w:tcW w:type="dxa" w:w="1191"/>
          </w:tcPr>
          <w:p>
            <w:pPr>
              <w:keepNext/>
            </w:pPr>
            <w:r/>
            <w:r>
              <w:rPr>
                <w:b/>
                <w:sz w:val="19"/>
              </w:rPr>
              <w:t>Prioridade</w:t>
            </w:r>
          </w:p>
        </w:tc>
        <w:tc>
          <w:tcPr>
            <w:tcW w:type="dxa" w:w="907"/>
          </w:tcPr>
          <w:p>
            <w:pPr>
              <w:keepNext/>
            </w:pPr>
            <w:r/>
            <w:r>
              <w:rPr>
                <w:b/>
                <w:sz w:val="19"/>
              </w:rPr>
              <w:t>Etapa</w:t>
            </w:r>
          </w:p>
        </w:tc>
        <w:tc>
          <w:tcPr>
            <w:tcW w:type="dxa" w:w="1247"/>
          </w:tcPr>
          <w:p>
            <w:pPr>
              <w:keepNext/>
            </w:pPr>
            <w:r/>
            <w:r>
              <w:rPr>
                <w:b/>
                <w:sz w:val="19"/>
              </w:rPr>
              <w:t>Situação</w:t>
            </w:r>
          </w:p>
        </w:tc>
      </w:tr>
      <w:tr>
        <w:trPr>
          <w:cantSplit w:val="true"/>
        </w:trPr>
        <w:tc>
          <w:tcPr>
            <w:tcW w:type="dxa" w:w="680"/>
          </w:tcPr>
          <w:p>
            <w:r/>
            <w:r>
              <w:rPr>
                <w:sz w:val="18"/>
              </w:rPr>
              <w:t>RF01</w:t>
            </w:r>
          </w:p>
        </w:tc>
        <w:tc>
          <w:tcPr>
            <w:tcW w:type="dxa" w:w="4025"/>
          </w:tcPr>
          <w:p>
            <w:r/>
            <w:r>
              <w:rPr>
                <w:sz w:val="18"/>
              </w:rPr>
              <w:t>Catalogar a fonte com origem, responsável, versão, período, granularidade, campos, limitações e condições de uso. Fica pronto quando qualquer integrante localiza a origem e a versão da entrada.</w:t>
            </w:r>
          </w:p>
        </w:tc>
        <w:tc>
          <w:tcPr>
            <w:tcW w:type="dxa" w:w="1134"/>
          </w:tcPr>
          <w:p>
            <w:r/>
            <w:r>
              <w:rPr>
                <w:sz w:val="18"/>
              </w:rPr>
              <w:t>Enunciado</w:t>
            </w:r>
          </w:p>
        </w:tc>
        <w:tc>
          <w:tcPr>
            <w:tcW w:type="dxa" w:w="1191"/>
          </w:tcPr>
          <w:p>
            <w:r/>
            <w:r>
              <w:rPr>
                <w:sz w:val="18"/>
              </w:rPr>
              <w:t>Alta</w:t>
            </w:r>
          </w:p>
        </w:tc>
        <w:tc>
          <w:tcPr>
            <w:tcW w:type="dxa" w:w="907"/>
          </w:tcPr>
          <w:p>
            <w:r/>
            <w:r>
              <w:rPr>
                <w:sz w:val="18"/>
              </w:rPr>
              <w:t>E1</w:t>
            </w:r>
          </w:p>
        </w:tc>
        <w:tc>
          <w:tcPr>
            <w:tcW w:type="dxa" w:w="1247"/>
          </w:tcPr>
          <w:p>
            <w:r/>
            <w:r>
              <w:rPr>
                <w:sz w:val="18"/>
              </w:rPr>
              <w:t>Atendido</w:t>
            </w:r>
          </w:p>
        </w:tc>
      </w:tr>
      <w:tr>
        <w:trPr>
          <w:cantSplit w:val="true"/>
        </w:trPr>
        <w:tc>
          <w:tcPr>
            <w:tcW w:type="dxa" w:w="680"/>
          </w:tcPr>
          <w:p>
            <w:r/>
            <w:r>
              <w:rPr>
                <w:sz w:val="18"/>
              </w:rPr>
              <w:t>RF02</w:t>
            </w:r>
          </w:p>
        </w:tc>
        <w:tc>
          <w:tcPr>
            <w:tcW w:type="dxa" w:w="4025"/>
          </w:tcPr>
          <w:p>
            <w:r/>
            <w:r>
              <w:rPr>
                <w:sz w:val="18"/>
              </w:rPr>
              <w:t>Importar a cópia autorizada conforme o contrato de leitura, sem gravar sobre a origem. Fica pronto quando a leitura reproduz os quatro campos e o arquivo original permanece intacto.</w:t>
            </w:r>
          </w:p>
        </w:tc>
        <w:tc>
          <w:tcPr>
            <w:tcW w:type="dxa" w:w="1134"/>
          </w:tcPr>
          <w:p>
            <w:r/>
            <w:r>
              <w:rPr>
                <w:sz w:val="18"/>
              </w:rPr>
              <w:t>Enunciado</w:t>
            </w:r>
          </w:p>
        </w:tc>
        <w:tc>
          <w:tcPr>
            <w:tcW w:type="dxa" w:w="1191"/>
          </w:tcPr>
          <w:p>
            <w:r/>
            <w:r>
              <w:rPr>
                <w:sz w:val="18"/>
              </w:rPr>
              <w:t>Alta</w:t>
            </w:r>
          </w:p>
        </w:tc>
        <w:tc>
          <w:tcPr>
            <w:tcW w:type="dxa" w:w="907"/>
          </w:tcPr>
          <w:p>
            <w:r/>
            <w:r>
              <w:rPr>
                <w:sz w:val="18"/>
              </w:rPr>
              <w:t>E1</w:t>
            </w:r>
          </w:p>
        </w:tc>
        <w:tc>
          <w:tcPr>
            <w:tcW w:type="dxa" w:w="1247"/>
          </w:tcPr>
          <w:p>
            <w:r/>
            <w:r>
              <w:rPr>
                <w:sz w:val="18"/>
              </w:rPr>
              <w:t>Atendido</w:t>
            </w:r>
          </w:p>
        </w:tc>
      </w:tr>
      <w:tr>
        <w:trPr>
          <w:cantSplit w:val="true"/>
        </w:trPr>
        <w:tc>
          <w:tcPr>
            <w:tcW w:type="dxa" w:w="680"/>
          </w:tcPr>
          <w:p>
            <w:r/>
            <w:r>
              <w:rPr>
                <w:sz w:val="18"/>
              </w:rPr>
              <w:t>RF03</w:t>
            </w:r>
          </w:p>
        </w:tc>
        <w:tc>
          <w:tcPr>
            <w:tcW w:type="dxa" w:w="4025"/>
          </w:tcPr>
          <w:p>
            <w:r/>
            <w:r>
              <w:rPr>
                <w:sz w:val="18"/>
              </w:rPr>
              <w:t>Levantar tipos, volume, ausências, duplicidades, cobertura e inconsistências. Fica pronto quando os testes respeitam a convenção de sinais e usam uma tolerância justificada.</w:t>
            </w:r>
          </w:p>
        </w:tc>
        <w:tc>
          <w:tcPr>
            <w:tcW w:type="dxa" w:w="1134"/>
          </w:tcPr>
          <w:p>
            <w:r/>
            <w:r>
              <w:rPr>
                <w:sz w:val="18"/>
              </w:rPr>
              <w:t>Enunciado</w:t>
            </w:r>
          </w:p>
        </w:tc>
        <w:tc>
          <w:tcPr>
            <w:tcW w:type="dxa" w:w="1191"/>
          </w:tcPr>
          <w:p>
            <w:r/>
            <w:r>
              <w:rPr>
                <w:sz w:val="18"/>
              </w:rPr>
              <w:t>Alta</w:t>
            </w:r>
          </w:p>
        </w:tc>
        <w:tc>
          <w:tcPr>
            <w:tcW w:type="dxa" w:w="907"/>
          </w:tcPr>
          <w:p>
            <w:r/>
            <w:r>
              <w:rPr>
                <w:sz w:val="18"/>
              </w:rPr>
              <w:t>E1</w:t>
            </w:r>
          </w:p>
        </w:tc>
        <w:tc>
          <w:tcPr>
            <w:tcW w:type="dxa" w:w="1247"/>
          </w:tcPr>
          <w:p>
            <w:r/>
            <w:r>
              <w:rPr>
                <w:sz w:val="18"/>
              </w:rPr>
              <w:t>Atendido</w:t>
            </w:r>
          </w:p>
        </w:tc>
      </w:tr>
      <w:tr>
        <w:trPr>
          <w:cantSplit w:val="true"/>
        </w:trPr>
        <w:tc>
          <w:tcPr>
            <w:tcW w:type="dxa" w:w="680"/>
          </w:tcPr>
          <w:p>
            <w:r/>
            <w:r>
              <w:rPr>
                <w:sz w:val="18"/>
              </w:rPr>
              <w:t>RF04</w:t>
            </w:r>
          </w:p>
        </w:tc>
        <w:tc>
          <w:tcPr>
            <w:tcW w:type="dxa" w:w="4025"/>
          </w:tcPr>
          <w:p>
            <w:r/>
            <w:r>
              <w:rPr>
                <w:sz w:val="18"/>
              </w:rPr>
              <w:t>Preparar os dados em etapas reproduzíveis, sem alterar a fonte: a entrada fica em raw, as etapas intermediárias rodam em memória e as saídas vão para processed. Fica pronto quando a mesma entrada gera a mesma saída e uma verificação reprovada impede a gravação.</w:t>
            </w:r>
          </w:p>
        </w:tc>
        <w:tc>
          <w:tcPr>
            <w:tcW w:type="dxa" w:w="1134"/>
          </w:tcPr>
          <w:p>
            <w:r/>
            <w:r>
              <w:rPr>
                <w:sz w:val="18"/>
              </w:rPr>
              <w:t>Enunciado</w:t>
            </w:r>
          </w:p>
        </w:tc>
        <w:tc>
          <w:tcPr>
            <w:tcW w:type="dxa" w:w="1191"/>
          </w:tcPr>
          <w:p>
            <w:r/>
            <w:r>
              <w:rPr>
                <w:sz w:val="18"/>
              </w:rPr>
              <w:t>Alta</w:t>
            </w:r>
          </w:p>
        </w:tc>
        <w:tc>
          <w:tcPr>
            <w:tcW w:type="dxa" w:w="907"/>
          </w:tcPr>
          <w:p>
            <w:r/>
            <w:r>
              <w:rPr>
                <w:sz w:val="18"/>
              </w:rPr>
              <w:t>E1</w:t>
            </w:r>
          </w:p>
        </w:tc>
        <w:tc>
          <w:tcPr>
            <w:tcW w:type="dxa" w:w="1247"/>
          </w:tcPr>
          <w:p>
            <w:r/>
            <w:r>
              <w:rPr>
                <w:sz w:val="18"/>
              </w:rPr>
              <w:t>Atendido</w:t>
            </w:r>
          </w:p>
        </w:tc>
      </w:tr>
      <w:tr>
        <w:trPr>
          <w:cantSplit w:val="true"/>
        </w:trPr>
        <w:tc>
          <w:tcPr>
            <w:tcW w:type="dxa" w:w="680"/>
          </w:tcPr>
          <w:p>
            <w:r/>
            <w:r>
              <w:rPr>
                <w:sz w:val="18"/>
              </w:rPr>
              <w:t>RF05</w:t>
            </w:r>
          </w:p>
        </w:tc>
        <w:tc>
          <w:tcPr>
            <w:tcW w:type="dxa" w:w="4025"/>
          </w:tcPr>
          <w:p>
            <w:r/>
            <w:r>
              <w:rPr>
                <w:sz w:val="18"/>
              </w:rPr>
              <w:t>Publicar o dicionário de dados com campos, unidades, domínios, chaves e transformações. Fica pronto quando todo campo usado tem definição e origem.</w:t>
            </w:r>
          </w:p>
        </w:tc>
        <w:tc>
          <w:tcPr>
            <w:tcW w:type="dxa" w:w="1134"/>
          </w:tcPr>
          <w:p>
            <w:r/>
            <w:r>
              <w:rPr>
                <w:sz w:val="18"/>
              </w:rPr>
              <w:t>Enunciado</w:t>
            </w:r>
          </w:p>
        </w:tc>
        <w:tc>
          <w:tcPr>
            <w:tcW w:type="dxa" w:w="1191"/>
          </w:tcPr>
          <w:p>
            <w:r/>
            <w:r>
              <w:rPr>
                <w:sz w:val="18"/>
              </w:rPr>
              <w:t>Alta</w:t>
            </w:r>
          </w:p>
        </w:tc>
        <w:tc>
          <w:tcPr>
            <w:tcW w:type="dxa" w:w="907"/>
          </w:tcPr>
          <w:p>
            <w:r/>
            <w:r>
              <w:rPr>
                <w:sz w:val="18"/>
              </w:rPr>
              <w:t>E1</w:t>
            </w:r>
          </w:p>
        </w:tc>
        <w:tc>
          <w:tcPr>
            <w:tcW w:type="dxa" w:w="1247"/>
          </w:tcPr>
          <w:p>
            <w:r/>
            <w:r>
              <w:rPr>
                <w:sz w:val="18"/>
              </w:rPr>
              <w:t>Atendido</w:t>
            </w:r>
          </w:p>
        </w:tc>
      </w:tr>
      <w:tr>
        <w:trPr>
          <w:cantSplit w:val="true"/>
        </w:trPr>
        <w:tc>
          <w:tcPr>
            <w:tcW w:type="dxa" w:w="680"/>
          </w:tcPr>
          <w:p>
            <w:r/>
            <w:r>
              <w:rPr>
                <w:sz w:val="18"/>
              </w:rPr>
              <w:t>RF06</w:t>
            </w:r>
          </w:p>
        </w:tc>
        <w:tc>
          <w:tcPr>
            <w:tcW w:type="dxa" w:w="4025"/>
          </w:tcPr>
          <w:p>
            <w:r/>
            <w:r>
              <w:rPr>
                <w:sz w:val="18"/>
              </w:rPr>
              <w:t>Calcular medidas de posição e dispersão e gerar histogramas e boxplots por recorte coerente. Fica pronto com as cinco medidas e os dois tipos de gráfico interpretados.</w:t>
            </w:r>
          </w:p>
        </w:tc>
        <w:tc>
          <w:tcPr>
            <w:tcW w:type="dxa" w:w="1134"/>
          </w:tcPr>
          <w:p>
            <w:r/>
            <w:r>
              <w:rPr>
                <w:sz w:val="18"/>
              </w:rPr>
              <w:t>Enunciado</w:t>
            </w:r>
          </w:p>
        </w:tc>
        <w:tc>
          <w:tcPr>
            <w:tcW w:type="dxa" w:w="1191"/>
          </w:tcPr>
          <w:p>
            <w:r/>
            <w:r>
              <w:rPr>
                <w:sz w:val="18"/>
              </w:rPr>
              <w:t>Alta</w:t>
            </w:r>
          </w:p>
        </w:tc>
        <w:tc>
          <w:tcPr>
            <w:tcW w:type="dxa" w:w="907"/>
          </w:tcPr>
          <w:p>
            <w:r/>
            <w:r>
              <w:rPr>
                <w:sz w:val="18"/>
              </w:rPr>
              <w:t>E1</w:t>
            </w:r>
          </w:p>
        </w:tc>
        <w:tc>
          <w:tcPr>
            <w:tcW w:type="dxa" w:w="1247"/>
          </w:tcPr>
          <w:p>
            <w:r/>
            <w:r>
              <w:rPr>
                <w:sz w:val="18"/>
              </w:rPr>
              <w:t>Em andamento</w:t>
            </w:r>
          </w:p>
        </w:tc>
      </w:tr>
      <w:tr>
        <w:trPr>
          <w:cantSplit w:val="true"/>
        </w:trPr>
        <w:tc>
          <w:tcPr>
            <w:tcW w:type="dxa" w:w="680"/>
          </w:tcPr>
          <w:p>
            <w:r/>
            <w:r>
              <w:rPr>
                <w:sz w:val="18"/>
              </w:rPr>
              <w:t>RF07</w:t>
            </w:r>
          </w:p>
        </w:tc>
        <w:tc>
          <w:tcPr>
            <w:tcW w:type="dxa" w:w="4025"/>
          </w:tcPr>
          <w:p>
            <w:r/>
            <w:r>
              <w:rPr>
                <w:sz w:val="18"/>
              </w:rPr>
              <w:t>Ajustar um modelo de regressão, interpretar os coeficientes e avaliar ajuste, resíduos e limitações.</w:t>
            </w:r>
          </w:p>
        </w:tc>
        <w:tc>
          <w:tcPr>
            <w:tcW w:type="dxa" w:w="1134"/>
          </w:tcPr>
          <w:p>
            <w:r/>
            <w:r>
              <w:rPr>
                <w:sz w:val="18"/>
              </w:rPr>
              <w:t>Enunciado</w:t>
            </w:r>
          </w:p>
        </w:tc>
        <w:tc>
          <w:tcPr>
            <w:tcW w:type="dxa" w:w="1191"/>
          </w:tcPr>
          <w:p>
            <w:r/>
            <w:r>
              <w:rPr>
                <w:sz w:val="18"/>
              </w:rPr>
              <w:t>Alta</w:t>
            </w:r>
          </w:p>
        </w:tc>
        <w:tc>
          <w:tcPr>
            <w:tcW w:type="dxa" w:w="907"/>
          </w:tcPr>
          <w:p>
            <w:r/>
            <w:r>
              <w:rPr>
                <w:sz w:val="18"/>
              </w:rPr>
              <w:t>E2</w:t>
            </w:r>
          </w:p>
        </w:tc>
        <w:tc>
          <w:tcPr>
            <w:tcW w:type="dxa" w:w="1247"/>
          </w:tcPr>
          <w:p>
            <w:r/>
            <w:r>
              <w:rPr>
                <w:sz w:val="18"/>
              </w:rPr>
              <w:t>Planejado</w:t>
            </w:r>
          </w:p>
        </w:tc>
      </w:tr>
      <w:tr>
        <w:trPr>
          <w:cantSplit w:val="true"/>
        </w:trPr>
        <w:tc>
          <w:tcPr>
            <w:tcW w:type="dxa" w:w="680"/>
          </w:tcPr>
          <w:p>
            <w:r/>
            <w:r>
              <w:rPr>
                <w:sz w:val="18"/>
              </w:rPr>
              <w:t>RF08</w:t>
            </w:r>
          </w:p>
        </w:tc>
        <w:tc>
          <w:tcPr>
            <w:tcW w:type="dxa" w:w="4025"/>
          </w:tcPr>
          <w:p>
            <w:r/>
            <w:r>
              <w:rPr>
                <w:sz w:val="18"/>
              </w:rPr>
              <w:t>Organizar balanço, resultado e fluxo de caixa e calcular indicadores com fórmulas e premissas confirmadas. Fica pronto quando cada indicador tem fórmula, contas de origem, unidade e conferência independente.</w:t>
            </w:r>
          </w:p>
        </w:tc>
        <w:tc>
          <w:tcPr>
            <w:tcW w:type="dxa" w:w="1134"/>
          </w:tcPr>
          <w:p>
            <w:r/>
            <w:r>
              <w:rPr>
                <w:sz w:val="18"/>
              </w:rPr>
              <w:t>Enunciado</w:t>
            </w:r>
          </w:p>
        </w:tc>
        <w:tc>
          <w:tcPr>
            <w:tcW w:type="dxa" w:w="1191"/>
          </w:tcPr>
          <w:p>
            <w:r/>
            <w:r>
              <w:rPr>
                <w:sz w:val="18"/>
              </w:rPr>
              <w:t>Alta</w:t>
            </w:r>
          </w:p>
        </w:tc>
        <w:tc>
          <w:tcPr>
            <w:tcW w:type="dxa" w:w="907"/>
          </w:tcPr>
          <w:p>
            <w:r/>
            <w:r>
              <w:rPr>
                <w:sz w:val="18"/>
              </w:rPr>
              <w:t>E1</w:t>
            </w:r>
          </w:p>
        </w:tc>
        <w:tc>
          <w:tcPr>
            <w:tcW w:type="dxa" w:w="1247"/>
          </w:tcPr>
          <w:p>
            <w:r/>
            <w:r>
              <w:rPr>
                <w:sz w:val="18"/>
              </w:rPr>
              <w:t>Em andamento</w:t>
            </w:r>
          </w:p>
        </w:tc>
      </w:tr>
      <w:tr>
        <w:trPr>
          <w:cantSplit w:val="true"/>
        </w:trPr>
        <w:tc>
          <w:tcPr>
            <w:tcW w:type="dxa" w:w="680"/>
          </w:tcPr>
          <w:p>
            <w:r/>
            <w:r>
              <w:rPr>
                <w:sz w:val="18"/>
              </w:rPr>
              <w:t>RF09</w:t>
            </w:r>
          </w:p>
        </w:tc>
        <w:tc>
          <w:tcPr>
            <w:tcW w:type="dxa" w:w="4025"/>
          </w:tcPr>
          <w:p>
            <w:r/>
            <w:r>
              <w:rPr>
                <w:sz w:val="18"/>
              </w:rPr>
              <w:t>Gerar relatórios com resultados, gráficos, interpretação, premissas, limitações e recomendações.</w:t>
            </w:r>
          </w:p>
        </w:tc>
        <w:tc>
          <w:tcPr>
            <w:tcW w:type="dxa" w:w="1134"/>
          </w:tcPr>
          <w:p>
            <w:r/>
            <w:r>
              <w:rPr>
                <w:sz w:val="18"/>
              </w:rPr>
              <w:t>Enunciado</w:t>
            </w:r>
          </w:p>
        </w:tc>
        <w:tc>
          <w:tcPr>
            <w:tcW w:type="dxa" w:w="1191"/>
          </w:tcPr>
          <w:p>
            <w:r/>
            <w:r>
              <w:rPr>
                <w:sz w:val="18"/>
              </w:rPr>
              <w:t>Alta</w:t>
            </w:r>
          </w:p>
        </w:tc>
        <w:tc>
          <w:tcPr>
            <w:tcW w:type="dxa" w:w="907"/>
          </w:tcPr>
          <w:p>
            <w:r/>
            <w:r>
              <w:rPr>
                <w:sz w:val="18"/>
              </w:rPr>
              <w:t>E1 e E2</w:t>
            </w:r>
          </w:p>
        </w:tc>
        <w:tc>
          <w:tcPr>
            <w:tcW w:type="dxa" w:w="1247"/>
          </w:tcPr>
          <w:p>
            <w:r/>
            <w:r>
              <w:rPr>
                <w:sz w:val="18"/>
              </w:rPr>
              <w:t>Parcial</w:t>
            </w:r>
          </w:p>
        </w:tc>
      </w:tr>
      <w:tr>
        <w:trPr>
          <w:cantSplit w:val="true"/>
        </w:trPr>
        <w:tc>
          <w:tcPr>
            <w:tcW w:type="dxa" w:w="680"/>
          </w:tcPr>
          <w:p>
            <w:r/>
            <w:r>
              <w:rPr>
                <w:sz w:val="18"/>
              </w:rPr>
              <w:t>RF10</w:t>
            </w:r>
          </w:p>
        </w:tc>
        <w:tc>
          <w:tcPr>
            <w:tcW w:type="dxa" w:w="4025"/>
          </w:tcPr>
          <w:p>
            <w:r/>
            <w:r>
              <w:rPr>
                <w:sz w:val="18"/>
              </w:rPr>
              <w:t>Disponibilizar um painel com pelo menos cinco indicadores, gráficos, filtros e comparações.</w:t>
            </w:r>
          </w:p>
        </w:tc>
        <w:tc>
          <w:tcPr>
            <w:tcW w:type="dxa" w:w="1134"/>
          </w:tcPr>
          <w:p>
            <w:r/>
            <w:r>
              <w:rPr>
                <w:sz w:val="18"/>
              </w:rPr>
              <w:t>Enunciado</w:t>
            </w:r>
          </w:p>
        </w:tc>
        <w:tc>
          <w:tcPr>
            <w:tcW w:type="dxa" w:w="1191"/>
          </w:tcPr>
          <w:p>
            <w:r/>
            <w:r>
              <w:rPr>
                <w:sz w:val="18"/>
              </w:rPr>
              <w:t>Alta</w:t>
            </w:r>
          </w:p>
        </w:tc>
        <w:tc>
          <w:tcPr>
            <w:tcW w:type="dxa" w:w="907"/>
          </w:tcPr>
          <w:p>
            <w:r/>
            <w:r>
              <w:rPr>
                <w:sz w:val="18"/>
              </w:rPr>
              <w:t>E2</w:t>
            </w:r>
          </w:p>
        </w:tc>
        <w:tc>
          <w:tcPr>
            <w:tcW w:type="dxa" w:w="1247"/>
          </w:tcPr>
          <w:p>
            <w:r/>
            <w:r>
              <w:rPr>
                <w:sz w:val="18"/>
              </w:rPr>
              <w:t>Planejado</w:t>
            </w:r>
          </w:p>
        </w:tc>
      </w:tr>
      <w:tr>
        <w:trPr>
          <w:cantSplit w:val="true"/>
        </w:trPr>
        <w:tc>
          <w:tcPr>
            <w:tcW w:type="dxa" w:w="680"/>
          </w:tcPr>
          <w:p>
            <w:r/>
            <w:r>
              <w:rPr>
                <w:sz w:val="18"/>
              </w:rPr>
              <w:t>RF11</w:t>
            </w:r>
          </w:p>
        </w:tc>
        <w:tc>
          <w:tcPr>
            <w:tcW w:type="dxa" w:w="4025"/>
          </w:tcPr>
          <w:p>
            <w:r/>
            <w:r>
              <w:rPr>
                <w:sz w:val="18"/>
              </w:rPr>
              <w:t>Permitir análise de sensibilidade sobre uma premissa aprovada, preservando o cenário de referência.</w:t>
            </w:r>
          </w:p>
        </w:tc>
        <w:tc>
          <w:tcPr>
            <w:tcW w:type="dxa" w:w="1134"/>
          </w:tcPr>
          <w:p>
            <w:r/>
            <w:r>
              <w:rPr>
                <w:sz w:val="18"/>
              </w:rPr>
              <w:t>Enunciado</w:t>
            </w:r>
          </w:p>
        </w:tc>
        <w:tc>
          <w:tcPr>
            <w:tcW w:type="dxa" w:w="1191"/>
          </w:tcPr>
          <w:p>
            <w:r/>
            <w:r>
              <w:rPr>
                <w:sz w:val="18"/>
              </w:rPr>
              <w:t>Alta</w:t>
            </w:r>
          </w:p>
        </w:tc>
        <w:tc>
          <w:tcPr>
            <w:tcW w:type="dxa" w:w="907"/>
          </w:tcPr>
          <w:p>
            <w:r/>
            <w:r>
              <w:rPr>
                <w:sz w:val="18"/>
              </w:rPr>
              <w:t>E2</w:t>
            </w:r>
          </w:p>
        </w:tc>
        <w:tc>
          <w:tcPr>
            <w:tcW w:type="dxa" w:w="1247"/>
          </w:tcPr>
          <w:p>
            <w:r/>
            <w:r>
              <w:rPr>
                <w:sz w:val="18"/>
              </w:rPr>
              <w:t>Planejado</w:t>
            </w:r>
          </w:p>
        </w:tc>
      </w:tr>
      <w:tr>
        <w:trPr>
          <w:cantSplit w:val="true"/>
        </w:trPr>
        <w:tc>
          <w:tcPr>
            <w:tcW w:type="dxa" w:w="680"/>
          </w:tcPr>
          <w:p>
            <w:r/>
            <w:r>
              <w:rPr>
                <w:sz w:val="18"/>
              </w:rPr>
              <w:t>RF12</w:t>
            </w:r>
          </w:p>
        </w:tc>
        <w:tc>
          <w:tcPr>
            <w:tcW w:type="dxa" w:w="4025"/>
          </w:tcPr>
          <w:p>
            <w:r/>
            <w:r>
              <w:rPr>
                <w:sz w:val="18"/>
              </w:rPr>
              <w:t>Exportar tabelas e resultados autorizados, sem expor conteúdo restrito.</w:t>
            </w:r>
          </w:p>
        </w:tc>
        <w:tc>
          <w:tcPr>
            <w:tcW w:type="dxa" w:w="1134"/>
          </w:tcPr>
          <w:p>
            <w:r/>
            <w:r>
              <w:rPr>
                <w:sz w:val="18"/>
              </w:rPr>
              <w:t>Enunciado</w:t>
            </w:r>
          </w:p>
        </w:tc>
        <w:tc>
          <w:tcPr>
            <w:tcW w:type="dxa" w:w="1191"/>
          </w:tcPr>
          <w:p>
            <w:r/>
            <w:r>
              <w:rPr>
                <w:sz w:val="18"/>
              </w:rPr>
              <w:t>Média</w:t>
            </w:r>
          </w:p>
        </w:tc>
        <w:tc>
          <w:tcPr>
            <w:tcW w:type="dxa" w:w="907"/>
          </w:tcPr>
          <w:p>
            <w:r/>
            <w:r>
              <w:rPr>
                <w:sz w:val="18"/>
              </w:rPr>
              <w:t>E1 e E2</w:t>
            </w:r>
          </w:p>
        </w:tc>
        <w:tc>
          <w:tcPr>
            <w:tcW w:type="dxa" w:w="1247"/>
          </w:tcPr>
          <w:p>
            <w:r/>
            <w:r>
              <w:rPr>
                <w:sz w:val="18"/>
              </w:rPr>
              <w:t>A fazer</w:t>
            </w:r>
          </w:p>
        </w:tc>
      </w:tr>
      <w:tr>
        <w:trPr>
          <w:cantSplit w:val="true"/>
        </w:trPr>
        <w:tc>
          <w:tcPr>
            <w:tcW w:type="dxa" w:w="680"/>
          </w:tcPr>
          <w:p>
            <w:r/>
            <w:r>
              <w:rPr>
                <w:sz w:val="18"/>
              </w:rPr>
              <w:t>RF13</w:t>
            </w:r>
          </w:p>
        </w:tc>
        <w:tc>
          <w:tcPr>
            <w:tcW w:type="dxa" w:w="4025"/>
          </w:tcPr>
          <w:p>
            <w:r/>
            <w:r>
              <w:rPr>
                <w:sz w:val="18"/>
              </w:rPr>
              <w:t>Exibir fonte, data de atualização, unidade e fórmula dos principais indicadores.</w:t>
            </w:r>
          </w:p>
        </w:tc>
        <w:tc>
          <w:tcPr>
            <w:tcW w:type="dxa" w:w="1134"/>
          </w:tcPr>
          <w:p>
            <w:r/>
            <w:r>
              <w:rPr>
                <w:sz w:val="18"/>
              </w:rPr>
              <w:t>Enunciado</w:t>
            </w:r>
          </w:p>
        </w:tc>
        <w:tc>
          <w:tcPr>
            <w:tcW w:type="dxa" w:w="1191"/>
          </w:tcPr>
          <w:p>
            <w:r/>
            <w:r>
              <w:rPr>
                <w:sz w:val="18"/>
              </w:rPr>
              <w:t>Alta</w:t>
            </w:r>
          </w:p>
        </w:tc>
        <w:tc>
          <w:tcPr>
            <w:tcW w:type="dxa" w:w="907"/>
          </w:tcPr>
          <w:p>
            <w:r/>
            <w:r>
              <w:rPr>
                <w:sz w:val="18"/>
              </w:rPr>
              <w:t>E1 e E2</w:t>
            </w:r>
          </w:p>
        </w:tc>
        <w:tc>
          <w:tcPr>
            <w:tcW w:type="dxa" w:w="1247"/>
          </w:tcPr>
          <w:p>
            <w:r/>
            <w:r>
              <w:rPr>
                <w:sz w:val="18"/>
              </w:rPr>
              <w:t>Parcial</w:t>
            </w:r>
          </w:p>
        </w:tc>
      </w:tr>
      <w:tr>
        <w:trPr>
          <w:cantSplit w:val="true"/>
        </w:trPr>
        <w:tc>
          <w:tcPr>
            <w:tcW w:type="dxa" w:w="680"/>
          </w:tcPr>
          <w:p>
            <w:r/>
            <w:r>
              <w:rPr>
                <w:sz w:val="18"/>
              </w:rPr>
              <w:t>RF14</w:t>
            </w:r>
          </w:p>
        </w:tc>
        <w:tc>
          <w:tcPr>
            <w:tcW w:type="dxa" w:w="4025"/>
          </w:tcPr>
          <w:p>
            <w:r/>
            <w:r>
              <w:rPr>
                <w:sz w:val="18"/>
              </w:rPr>
              <w:t>Fornecer código, dependências e instruções de execução e, na Entrega 2, publicar o painel na nuvem.</w:t>
            </w:r>
          </w:p>
        </w:tc>
        <w:tc>
          <w:tcPr>
            <w:tcW w:type="dxa" w:w="1134"/>
          </w:tcPr>
          <w:p>
            <w:r/>
            <w:r>
              <w:rPr>
                <w:sz w:val="18"/>
              </w:rPr>
              <w:t>Enunciado</w:t>
            </w:r>
          </w:p>
        </w:tc>
        <w:tc>
          <w:tcPr>
            <w:tcW w:type="dxa" w:w="1191"/>
          </w:tcPr>
          <w:p>
            <w:r/>
            <w:r>
              <w:rPr>
                <w:sz w:val="18"/>
              </w:rPr>
              <w:t>Alta</w:t>
            </w:r>
          </w:p>
        </w:tc>
        <w:tc>
          <w:tcPr>
            <w:tcW w:type="dxa" w:w="907"/>
          </w:tcPr>
          <w:p>
            <w:r/>
            <w:r>
              <w:rPr>
                <w:sz w:val="18"/>
              </w:rPr>
              <w:t>E1 e E2</w:t>
            </w:r>
          </w:p>
        </w:tc>
        <w:tc>
          <w:tcPr>
            <w:tcW w:type="dxa" w:w="1247"/>
          </w:tcPr>
          <w:p>
            <w:r/>
            <w:r>
              <w:rPr>
                <w:sz w:val="18"/>
              </w:rPr>
              <w:t>Parcial</w:t>
            </w:r>
          </w:p>
        </w:tc>
      </w:tr>
      <w:tr>
        <w:trPr>
          <w:cantSplit w:val="true"/>
        </w:trPr>
        <w:tc>
          <w:tcPr>
            <w:tcW w:type="dxa" w:w="680"/>
          </w:tcPr>
          <w:p>
            <w:r/>
            <w:r>
              <w:rPr>
                <w:sz w:val="18"/>
              </w:rPr>
              <w:t>RF15</w:t>
            </w:r>
          </w:p>
        </w:tc>
        <w:tc>
          <w:tcPr>
            <w:tcW w:type="dxa" w:w="4025"/>
          </w:tcPr>
          <w:p>
            <w:r/>
            <w:r>
              <w:rPr>
                <w:sz w:val="18"/>
              </w:rPr>
              <w:t>Classificar cenários por uma regra financeira aprovada, registrando período, índice, posição e perfil. Fica pronto quando a ordenação pode ser reproduzida e as regras de empate e de exclusão estão escritas.</w:t>
            </w:r>
          </w:p>
        </w:tc>
        <w:tc>
          <w:tcPr>
            <w:tcW w:type="dxa" w:w="1134"/>
          </w:tcPr>
          <w:p>
            <w:r/>
            <w:r>
              <w:rPr>
                <w:sz w:val="18"/>
              </w:rPr>
              <w:t>Aula de Finanças</w:t>
            </w:r>
          </w:p>
        </w:tc>
        <w:tc>
          <w:tcPr>
            <w:tcW w:type="dxa" w:w="1191"/>
          </w:tcPr>
          <w:p>
            <w:r/>
            <w:r>
              <w:rPr>
                <w:sz w:val="18"/>
              </w:rPr>
              <w:t>Média</w:t>
            </w:r>
          </w:p>
        </w:tc>
        <w:tc>
          <w:tcPr>
            <w:tcW w:type="dxa" w:w="907"/>
          </w:tcPr>
          <w:p>
            <w:r/>
            <w:r>
              <w:rPr>
                <w:sz w:val="18"/>
              </w:rPr>
              <w:t>E1</w:t>
            </w:r>
          </w:p>
        </w:tc>
        <w:tc>
          <w:tcPr>
            <w:tcW w:type="dxa" w:w="1247"/>
          </w:tcPr>
          <w:p>
            <w:r/>
            <w:r>
              <w:rPr>
                <w:sz w:val="18"/>
              </w:rPr>
              <w:t>Aguarda definição</w:t>
            </w:r>
          </w:p>
        </w:tc>
      </w:tr>
    </w:tbl>
    <w:p/>
    <w:p>
      <w:pPr>
        <w:pStyle w:val="Heading1"/>
      </w:pPr>
      <w:r>
        <w:rPr>
          <w:color w:val="1F3B57"/>
        </w:rPr>
        <w:t>6. Requisitos não funcionais</w:t>
      </w:r>
    </w:p>
    <w:tbl>
      <w:tblPr>
        <w:tblStyle w:val="TableGrid"/>
        <w:tblW w:type="auto" w:w="0"/>
        <w:tblLayout w:type="fixed"/>
        <w:tblLook w:firstColumn="1" w:firstRow="1" w:lastColumn="0" w:lastRow="0" w:noHBand="0" w:noVBand="1" w:val="04A0"/>
      </w:tblPr>
      <w:tblGrid>
        <w:gridCol w:w="4759"/>
        <w:gridCol w:w="4759"/>
      </w:tblGrid>
      <w:tr>
        <w:trPr>
          <w:cantSplit w:val="true"/>
          <w:tblHeader w:val="true"/>
        </w:trPr>
        <w:tc>
          <w:tcPr>
            <w:tcW w:type="dxa" w:w="2381"/>
          </w:tcPr>
          <w:p>
            <w:pPr>
              <w:keepNext/>
            </w:pPr>
            <w:r/>
            <w:r>
              <w:rPr>
                <w:b/>
                <w:sz w:val="19"/>
              </w:rPr>
              <w:t>ID e dimensão</w:t>
            </w:r>
          </w:p>
        </w:tc>
        <w:tc>
          <w:tcPr>
            <w:tcW w:type="dxa" w:w="6803"/>
          </w:tcPr>
          <w:p>
            <w:pPr>
              <w:keepNext/>
            </w:pPr>
            <w:r/>
            <w:r>
              <w:rPr>
                <w:b/>
                <w:sz w:val="19"/>
              </w:rPr>
              <w:t>Critério verificável</w:t>
            </w:r>
          </w:p>
        </w:tc>
      </w:tr>
      <w:tr>
        <w:trPr>
          <w:cantSplit w:val="true"/>
        </w:trPr>
        <w:tc>
          <w:tcPr>
            <w:tcW w:type="dxa" w:w="2381"/>
          </w:tcPr>
          <w:p>
            <w:r/>
            <w:r>
              <w:rPr>
                <w:sz w:val="18"/>
              </w:rPr>
              <w:t>RNF01, usabilidade</w:t>
            </w:r>
          </w:p>
        </w:tc>
        <w:tc>
          <w:tcPr>
            <w:tcW w:type="dxa" w:w="6803"/>
          </w:tcPr>
          <w:p>
            <w:r/>
            <w:r>
              <w:rPr>
                <w:sz w:val="18"/>
              </w:rPr>
              <w:t>Indicadores e gráficos com título, rótulo e unidade. A informação não pode depender só de cor.</w:t>
            </w:r>
          </w:p>
        </w:tc>
      </w:tr>
      <w:tr>
        <w:trPr>
          <w:cantSplit w:val="true"/>
        </w:trPr>
        <w:tc>
          <w:tcPr>
            <w:tcW w:type="dxa" w:w="2381"/>
          </w:tcPr>
          <w:p>
            <w:r/>
            <w:r>
              <w:rPr>
                <w:sz w:val="18"/>
              </w:rPr>
              <w:t>RNF02, desempenho</w:t>
            </w:r>
          </w:p>
        </w:tc>
        <w:tc>
          <w:tcPr>
            <w:tcW w:type="dxa" w:w="6803"/>
          </w:tcPr>
          <w:p>
            <w:r/>
            <w:r>
              <w:rPr>
                <w:sz w:val="18"/>
              </w:rPr>
              <w:t>Carga e filtragem medidas no ambiente declarado. A meta proposta é carregar em até 10 segundos e filtrar em até 2, ainda a validar com o professor.</w:t>
            </w:r>
          </w:p>
        </w:tc>
      </w:tr>
      <w:tr>
        <w:trPr>
          <w:cantSplit w:val="true"/>
        </w:trPr>
        <w:tc>
          <w:tcPr>
            <w:tcW w:type="dxa" w:w="2381"/>
          </w:tcPr>
          <w:p>
            <w:r/>
            <w:r>
              <w:rPr>
                <w:sz w:val="18"/>
              </w:rPr>
              <w:t>RNF03, reprodutibilidade</w:t>
            </w:r>
          </w:p>
        </w:tc>
        <w:tc>
          <w:tcPr>
            <w:tcW w:type="dxa" w:w="6803"/>
          </w:tcPr>
          <w:p>
            <w:r/>
            <w:r>
              <w:rPr>
                <w:sz w:val="18"/>
              </w:rPr>
              <w:t>Versão da fonte, dependências e ordem de execução documentadas. Outro integrante consegue reproduzir as saídas.</w:t>
            </w:r>
          </w:p>
        </w:tc>
      </w:tr>
      <w:tr>
        <w:trPr>
          <w:cantSplit w:val="true"/>
        </w:trPr>
        <w:tc>
          <w:tcPr>
            <w:tcW w:type="dxa" w:w="2381"/>
          </w:tcPr>
          <w:p>
            <w:r/>
            <w:r>
              <w:rPr>
                <w:sz w:val="18"/>
              </w:rPr>
              <w:t>RNF04, confiabilidade</w:t>
            </w:r>
          </w:p>
        </w:tc>
        <w:tc>
          <w:tcPr>
            <w:tcW w:type="dxa" w:w="6803"/>
          </w:tcPr>
          <w:p>
            <w:r/>
            <w:r>
              <w:rPr>
                <w:sz w:val="18"/>
              </w:rPr>
              <w:t>Cálculos críticos cobrem denominador zero, ausência de dado, duplicidade e sinal. Uma verificação reprovada impede a gravação da base, e as divergências ficam registradas.</w:t>
            </w:r>
          </w:p>
        </w:tc>
      </w:tr>
      <w:tr>
        <w:trPr>
          <w:cantSplit w:val="true"/>
        </w:trPr>
        <w:tc>
          <w:tcPr>
            <w:tcW w:type="dxa" w:w="2381"/>
          </w:tcPr>
          <w:p>
            <w:r/>
            <w:r>
              <w:rPr>
                <w:sz w:val="18"/>
              </w:rPr>
              <w:t>RNF05, segurança e privacidade</w:t>
            </w:r>
          </w:p>
        </w:tc>
        <w:tc>
          <w:tcPr>
            <w:tcW w:type="dxa" w:w="6803"/>
          </w:tcPr>
          <w:p>
            <w:r/>
            <w:r>
              <w:rPr>
                <w:sz w:val="18"/>
              </w:rPr>
              <w:t>Nenhuma credencial no repositório, base original fora do versionamento, notebooks sem linhas da base e saídas revisadas antes de publicar.</w:t>
            </w:r>
          </w:p>
        </w:tc>
      </w:tr>
      <w:tr>
        <w:trPr>
          <w:cantSplit w:val="true"/>
        </w:trPr>
        <w:tc>
          <w:tcPr>
            <w:tcW w:type="dxa" w:w="2381"/>
          </w:tcPr>
          <w:p>
            <w:r/>
            <w:r>
              <w:rPr>
                <w:sz w:val="18"/>
              </w:rPr>
              <w:t>RNF06, rastreabilidade</w:t>
            </w:r>
          </w:p>
        </w:tc>
        <w:tc>
          <w:tcPr>
            <w:tcW w:type="dxa" w:w="6803"/>
          </w:tcPr>
          <w:p>
            <w:r/>
            <w:r>
              <w:rPr>
                <w:sz w:val="18"/>
              </w:rPr>
              <w:t>Cada requisito funcional liga origem, prioridade, artefato e forma de verificação (seções 5 e 9). Toda mudança de fórmula registra motivo e data.</w:t>
            </w:r>
          </w:p>
        </w:tc>
      </w:tr>
      <w:tr>
        <w:trPr>
          <w:cantSplit w:val="true"/>
        </w:trPr>
        <w:tc>
          <w:tcPr>
            <w:tcW w:type="dxa" w:w="2381"/>
          </w:tcPr>
          <w:p>
            <w:r/>
            <w:r>
              <w:rPr>
                <w:sz w:val="18"/>
              </w:rPr>
              <w:t>RNF07, manutenibilidade</w:t>
            </w:r>
          </w:p>
        </w:tc>
        <w:tc>
          <w:tcPr>
            <w:tcW w:type="dxa" w:w="6803"/>
          </w:tcPr>
          <w:p>
            <w:r/>
            <w:r>
              <w:rPr>
                <w:sz w:val="18"/>
              </w:rPr>
              <w:t>Leitura, preparação, cálculo e apresentação separados. A mesma regra financeira é reutilizada entre as saídas.</w:t>
            </w:r>
          </w:p>
        </w:tc>
      </w:tr>
      <w:tr>
        <w:trPr>
          <w:cantSplit w:val="true"/>
        </w:trPr>
        <w:tc>
          <w:tcPr>
            <w:tcW w:type="dxa" w:w="2381"/>
          </w:tcPr>
          <w:p>
            <w:r/>
            <w:r>
              <w:rPr>
                <w:sz w:val="18"/>
              </w:rPr>
              <w:t>RNF08, portabilidade</w:t>
            </w:r>
          </w:p>
        </w:tc>
        <w:tc>
          <w:tcPr>
            <w:tcW w:type="dxa" w:w="6803"/>
          </w:tcPr>
          <w:p>
            <w:r/>
            <w:r>
              <w:rPr>
                <w:sz w:val="18"/>
              </w:rPr>
              <w:t>Execução documentada no ambiente local e no Colab. Na Entrega 2, a publicação é testada na plataforma aprovada.</w:t>
            </w:r>
          </w:p>
        </w:tc>
      </w:tr>
      <w:tr>
        <w:trPr>
          <w:cantSplit w:val="true"/>
        </w:trPr>
        <w:tc>
          <w:tcPr>
            <w:tcW w:type="dxa" w:w="2381"/>
          </w:tcPr>
          <w:p>
            <w:r/>
            <w:r>
              <w:rPr>
                <w:sz w:val="18"/>
              </w:rPr>
              <w:t>RNF09, interoperabilidade</w:t>
            </w:r>
          </w:p>
        </w:tc>
        <w:tc>
          <w:tcPr>
            <w:tcW w:type="dxa" w:w="6803"/>
          </w:tcPr>
          <w:p>
            <w:r/>
            <w:r>
              <w:rPr>
                <w:sz w:val="18"/>
              </w:rPr>
              <w:t>Formatos abertos como CSV, XLSX e Parquet, com codificação, separador e esquema documentados.</w:t>
            </w:r>
          </w:p>
        </w:tc>
      </w:tr>
      <w:tr>
        <w:trPr>
          <w:cantSplit w:val="true"/>
        </w:trPr>
        <w:tc>
          <w:tcPr>
            <w:tcW w:type="dxa" w:w="2381"/>
          </w:tcPr>
          <w:p>
            <w:r/>
            <w:r>
              <w:rPr>
                <w:sz w:val="18"/>
              </w:rPr>
              <w:t>RNF10, ética analítica</w:t>
            </w:r>
          </w:p>
        </w:tc>
        <w:tc>
          <w:tcPr>
            <w:tcW w:type="dxa" w:w="6803"/>
          </w:tcPr>
          <w:p>
            <w:r/>
            <w:r>
              <w:rPr>
                <w:sz w:val="18"/>
              </w:rPr>
              <w:t>Separar observação, hipótese e simulação. Percentis não são apresentados como intervalo de confiança, nem frequência simulada como probabilidade real.</w:t>
            </w:r>
          </w:p>
        </w:tc>
      </w:tr>
    </w:tbl>
    <w:p/>
    <w:p>
      <w:pPr>
        <w:pStyle w:val="Heading1"/>
      </w:pPr>
      <w:r>
        <w:rPr>
          <w:color w:val="1F3B57"/>
        </w:rPr>
        <w:t>7. Regras de negócio</w:t>
      </w:r>
    </w:p>
    <w:tbl>
      <w:tblPr>
        <w:tblStyle w:val="TableGrid"/>
        <w:tblW w:type="auto" w:w="0"/>
        <w:tblLayout w:type="fixed"/>
        <w:tblLook w:firstColumn="1" w:firstRow="1" w:lastColumn="0" w:lastRow="0" w:noHBand="0" w:noVBand="1" w:val="04A0"/>
      </w:tblPr>
      <w:tblGrid>
        <w:gridCol w:w="4759"/>
        <w:gridCol w:w="4759"/>
      </w:tblGrid>
      <w:tr>
        <w:trPr>
          <w:cantSplit w:val="true"/>
          <w:tblHeader w:val="true"/>
        </w:trPr>
        <w:tc>
          <w:tcPr>
            <w:tcW w:type="dxa" w:w="850"/>
          </w:tcPr>
          <w:p>
            <w:pPr>
              <w:keepNext/>
            </w:pPr>
            <w:r/>
            <w:r>
              <w:rPr>
                <w:b/>
                <w:sz w:val="19"/>
              </w:rPr>
              <w:t>ID</w:t>
            </w:r>
          </w:p>
        </w:tc>
        <w:tc>
          <w:tcPr>
            <w:tcW w:type="dxa" w:w="8334"/>
          </w:tcPr>
          <w:p>
            <w:pPr>
              <w:keepNext/>
            </w:pPr>
            <w:r/>
            <w:r>
              <w:rPr>
                <w:b/>
                <w:sz w:val="19"/>
              </w:rPr>
              <w:t>Regra</w:t>
            </w:r>
          </w:p>
        </w:tc>
      </w:tr>
      <w:tr>
        <w:trPr>
          <w:cantSplit w:val="true"/>
        </w:trPr>
        <w:tc>
          <w:tcPr>
            <w:tcW w:type="dxa" w:w="850"/>
          </w:tcPr>
          <w:p>
            <w:r/>
            <w:r>
              <w:rPr>
                <w:sz w:val="18"/>
              </w:rPr>
              <w:t>RB01</w:t>
            </w:r>
          </w:p>
        </w:tc>
        <w:tc>
          <w:tcPr>
            <w:tcW w:type="dxa" w:w="8334"/>
          </w:tcPr>
          <w:p>
            <w:r/>
            <w:r>
              <w:rPr>
                <w:sz w:val="18"/>
              </w:rPr>
              <w:t>A base original da CTI é somente leitura. Toda transformação acontece em cópia ou em destino separado.</w:t>
            </w:r>
          </w:p>
        </w:tc>
      </w:tr>
      <w:tr>
        <w:trPr>
          <w:cantSplit w:val="true"/>
        </w:trPr>
        <w:tc>
          <w:tcPr>
            <w:tcW w:type="dxa" w:w="850"/>
          </w:tcPr>
          <w:p>
            <w:r/>
            <w:r>
              <w:rPr>
                <w:sz w:val="18"/>
              </w:rPr>
              <w:t>RB02</w:t>
            </w:r>
          </w:p>
        </w:tc>
        <w:tc>
          <w:tcPr>
            <w:tcW w:type="dxa" w:w="8334"/>
          </w:tcPr>
          <w:p>
            <w:r/>
            <w:r>
              <w:rPr>
                <w:sz w:val="18"/>
              </w:rPr>
              <w:t>Cenários são alternativas, não parcelas. Não se somam cenários entre si; o resumo é feito por percentis e distribuição.</w:t>
            </w:r>
          </w:p>
        </w:tc>
      </w:tr>
      <w:tr>
        <w:trPr>
          <w:cantSplit w:val="true"/>
        </w:trPr>
        <w:tc>
          <w:tcPr>
            <w:tcW w:type="dxa" w:w="850"/>
          </w:tcPr>
          <w:p>
            <w:r/>
            <w:r>
              <w:rPr>
                <w:sz w:val="18"/>
              </w:rPr>
              <w:t>RB03</w:t>
            </w:r>
          </w:p>
        </w:tc>
        <w:tc>
          <w:tcPr>
            <w:tcW w:type="dxa" w:w="8334"/>
          </w:tcPr>
          <w:p>
            <w:r/>
            <w:r>
              <w:rPr>
                <w:sz w:val="18"/>
              </w:rPr>
              <w:t>A chave das contas nomeadas é cenário, ano e conta. A unicidade é verificada antes de qualquer agregação.</w:t>
            </w:r>
          </w:p>
        </w:tc>
      </w:tr>
      <w:tr>
        <w:trPr>
          <w:cantSplit w:val="true"/>
        </w:trPr>
        <w:tc>
          <w:tcPr>
            <w:tcW w:type="dxa" w:w="850"/>
          </w:tcPr>
          <w:p>
            <w:r/>
            <w:r>
              <w:rPr>
                <w:sz w:val="18"/>
              </w:rPr>
              <w:t>RB04</w:t>
            </w:r>
          </w:p>
        </w:tc>
        <w:tc>
          <w:tcPr>
            <w:tcW w:type="dxa" w:w="8334"/>
          </w:tcPr>
          <w:p>
            <w:r/>
            <w:r>
              <w:rPr>
                <w:sz w:val="18"/>
              </w:rPr>
              <w:t>Antes de concluir algo sobre contabilidade, conferir a convenção de sinais. O total do ativo é positivo e o total do passivo, que inclui o patrimônio líquido, é negativo, então a identidade patrimonial é a soma dos totais. As contas têm exceções: o passivo circulante é positivo em 62% dos registros, as redutoras do ativo são negativas e, no Ano 12, os totais podem inverter de sinal.</w:t>
            </w:r>
          </w:p>
        </w:tc>
      </w:tr>
      <w:tr>
        <w:trPr>
          <w:cantSplit w:val="true"/>
        </w:trPr>
        <w:tc>
          <w:tcPr>
            <w:tcW w:type="dxa" w:w="850"/>
          </w:tcPr>
          <w:p>
            <w:r/>
            <w:r>
              <w:rPr>
                <w:sz w:val="18"/>
              </w:rPr>
              <w:t>RB05</w:t>
            </w:r>
          </w:p>
        </w:tc>
        <w:tc>
          <w:tcPr>
            <w:tcW w:type="dxa" w:w="8334"/>
          </w:tcPr>
          <w:p>
            <w:r/>
            <w:r>
              <w:rPr>
                <w:sz w:val="18"/>
              </w:rPr>
              <w:t>Ausência de conta não é zero. O Ano 12 não traz 27 contas, entre elas o patrimônio líquido e o exigível a longo prazo, e elas ficam vazias.</w:t>
            </w:r>
          </w:p>
        </w:tc>
      </w:tr>
      <w:tr>
        <w:trPr>
          <w:cantSplit w:val="true"/>
        </w:trPr>
        <w:tc>
          <w:tcPr>
            <w:tcW w:type="dxa" w:w="850"/>
          </w:tcPr>
          <w:p>
            <w:r/>
            <w:r>
              <w:rPr>
                <w:sz w:val="18"/>
              </w:rPr>
              <w:t>RB06</w:t>
            </w:r>
          </w:p>
        </w:tc>
        <w:tc>
          <w:tcPr>
            <w:tcW w:type="dxa" w:w="8334"/>
          </w:tcPr>
          <w:p>
            <w:r/>
            <w:r>
              <w:rPr>
                <w:sz w:val="18"/>
              </w:rPr>
              <w:t>O nome original da conta é preservado. A normalização de espaços só existe em coluna derivada.</w:t>
            </w:r>
          </w:p>
        </w:tc>
      </w:tr>
      <w:tr>
        <w:trPr>
          <w:cantSplit w:val="true"/>
        </w:trPr>
        <w:tc>
          <w:tcPr>
            <w:tcW w:type="dxa" w:w="850"/>
          </w:tcPr>
          <w:p>
            <w:r/>
            <w:r>
              <w:rPr>
                <w:sz w:val="18"/>
              </w:rPr>
              <w:t>RB07</w:t>
            </w:r>
          </w:p>
        </w:tc>
        <w:tc>
          <w:tcPr>
            <w:tcW w:type="dxa" w:w="8334"/>
          </w:tcPr>
          <w:p>
            <w:r/>
            <w:r>
              <w:rPr>
                <w:sz w:val="18"/>
              </w:rPr>
              <w:t>Contas de nome parecido não são unidas sem confirmação. Emprést e Empréstimos, assim como Outros deb e Outros Débitos, aparecem em grupos diferentes e com sinais diferentes.</w:t>
            </w:r>
          </w:p>
        </w:tc>
      </w:tr>
      <w:tr>
        <w:trPr>
          <w:cantSplit w:val="true"/>
        </w:trPr>
        <w:tc>
          <w:tcPr>
            <w:tcW w:type="dxa" w:w="850"/>
          </w:tcPr>
          <w:p>
            <w:r/>
            <w:r>
              <w:rPr>
                <w:sz w:val="18"/>
              </w:rPr>
              <w:t>RB08</w:t>
            </w:r>
          </w:p>
        </w:tc>
        <w:tc>
          <w:tcPr>
            <w:tcW w:type="dxa" w:w="8334"/>
          </w:tcPr>
          <w:p>
            <w:r/>
            <w:r>
              <w:rPr>
                <w:sz w:val="18"/>
              </w:rPr>
              <w:t>As três linhas sem nome de conta não são contas financeiras. A primeira coincide com o resíduo de conferência do balanço e as outras duas são sempre zero.</w:t>
            </w:r>
          </w:p>
        </w:tc>
      </w:tr>
      <w:tr>
        <w:trPr>
          <w:cantSplit w:val="true"/>
        </w:trPr>
        <w:tc>
          <w:tcPr>
            <w:tcW w:type="dxa" w:w="850"/>
          </w:tcPr>
          <w:p>
            <w:r/>
            <w:r>
              <w:rPr>
                <w:sz w:val="18"/>
              </w:rPr>
              <w:t>RB09</w:t>
            </w:r>
          </w:p>
        </w:tc>
        <w:tc>
          <w:tcPr>
            <w:tcW w:type="dxa" w:w="8334"/>
          </w:tcPr>
          <w:p>
            <w:r/>
            <w:r>
              <w:rPr>
                <w:sz w:val="18"/>
              </w:rPr>
              <w:t>Só é calculado o índice que tem contas, sinais e premissas suficientes. Denominador zero gera indisponibilidade explicada, nunca zero.</w:t>
            </w:r>
          </w:p>
        </w:tc>
      </w:tr>
      <w:tr>
        <w:trPr>
          <w:cantSplit w:val="true"/>
        </w:trPr>
        <w:tc>
          <w:tcPr>
            <w:tcW w:type="dxa" w:w="850"/>
          </w:tcPr>
          <w:p>
            <w:r/>
            <w:r>
              <w:rPr>
                <w:sz w:val="18"/>
              </w:rPr>
              <w:t>RB10</w:t>
            </w:r>
          </w:p>
        </w:tc>
        <w:tc>
          <w:tcPr>
            <w:tcW w:type="dxa" w:w="8334"/>
          </w:tcPr>
          <w:p>
            <w:r/>
            <w:r>
              <w:rPr>
                <w:sz w:val="18"/>
              </w:rPr>
              <w:t>O EBITDA fornecido é preservado. Qualquer divergência de reconciliação vira um cálculo à parte, com nome próprio.</w:t>
            </w:r>
          </w:p>
        </w:tc>
      </w:tr>
      <w:tr>
        <w:trPr>
          <w:cantSplit w:val="true"/>
        </w:trPr>
        <w:tc>
          <w:tcPr>
            <w:tcW w:type="dxa" w:w="850"/>
          </w:tcPr>
          <w:p>
            <w:r/>
            <w:r>
              <w:rPr>
                <w:sz w:val="18"/>
              </w:rPr>
              <w:t>RB11</w:t>
            </w:r>
          </w:p>
        </w:tc>
        <w:tc>
          <w:tcPr>
            <w:tcW w:type="dxa" w:w="8334"/>
          </w:tcPr>
          <w:p>
            <w:r/>
            <w:r>
              <w:rPr>
                <w:sz w:val="18"/>
              </w:rPr>
              <w:t>Cenários com trajetória idêntica são identificados e o tratamento dado a eles é declarado, porque afetam os percentis.</w:t>
            </w:r>
          </w:p>
        </w:tc>
      </w:tr>
      <w:tr>
        <w:trPr>
          <w:cantSplit w:val="true"/>
        </w:trPr>
        <w:tc>
          <w:tcPr>
            <w:tcW w:type="dxa" w:w="850"/>
          </w:tcPr>
          <w:p>
            <w:r/>
            <w:r>
              <w:rPr>
                <w:sz w:val="18"/>
              </w:rPr>
              <w:t>RB12</w:t>
            </w:r>
          </w:p>
        </w:tc>
        <w:tc>
          <w:tcPr>
            <w:tcW w:type="dxa" w:w="8334"/>
          </w:tcPr>
          <w:p>
            <w:r/>
            <w:r>
              <w:rPr>
                <w:sz w:val="18"/>
              </w:rPr>
              <w:t>Só é publicado o conteúdo autorizado, incluindo saídas de notebook, figuras e planilhas.</w:t>
            </w:r>
          </w:p>
        </w:tc>
      </w:tr>
      <w:tr>
        <w:trPr>
          <w:cantSplit w:val="true"/>
        </w:trPr>
        <w:tc>
          <w:tcPr>
            <w:tcW w:type="dxa" w:w="850"/>
          </w:tcPr>
          <w:p>
            <w:r/>
            <w:r>
              <w:rPr>
                <w:sz w:val="18"/>
              </w:rPr>
              <w:t>RB13</w:t>
            </w:r>
          </w:p>
        </w:tc>
        <w:tc>
          <w:tcPr>
            <w:tcW w:type="dxa" w:w="8334"/>
          </w:tcPr>
          <w:p>
            <w:r/>
            <w:r>
              <w:rPr>
                <w:sz w:val="18"/>
              </w:rPr>
              <w:t>A base oficial só é gravada quando todas as verificações da preparação passam. Uma verificação reprovada interrompe a execução.</w:t>
            </w:r>
          </w:p>
        </w:tc>
      </w:tr>
    </w:tbl>
    <w:p/>
    <w:p>
      <w:pPr>
        <w:pStyle w:val="Heading1"/>
      </w:pPr>
      <w:r>
        <w:rPr>
          <w:color w:val="1F3B57"/>
        </w:rPr>
        <w:t>8. Entradas, processamento e saídas</w:t>
      </w:r>
    </w:p>
    <w:tbl>
      <w:tblPr>
        <w:tblStyle w:val="TableGrid"/>
        <w:tblW w:type="auto" w:w="0"/>
        <w:tblLayout w:type="fixed"/>
        <w:tblLook w:firstColumn="1" w:firstRow="1" w:lastColumn="0" w:lastRow="0" w:noHBand="0" w:noVBand="1" w:val="04A0"/>
      </w:tblPr>
      <w:tblGrid>
        <w:gridCol w:w="2379"/>
        <w:gridCol w:w="2379"/>
        <w:gridCol w:w="2379"/>
        <w:gridCol w:w="2379"/>
      </w:tblGrid>
      <w:tr>
        <w:trPr>
          <w:cantSplit w:val="true"/>
          <w:tblHeader w:val="true"/>
        </w:trPr>
        <w:tc>
          <w:tcPr>
            <w:tcW w:type="dxa" w:w="1361"/>
          </w:tcPr>
          <w:p>
            <w:pPr>
              <w:keepNext/>
            </w:pPr>
            <w:r/>
            <w:r>
              <w:rPr>
                <w:b/>
                <w:sz w:val="19"/>
              </w:rPr>
              <w:t>Etapa</w:t>
            </w:r>
          </w:p>
        </w:tc>
        <w:tc>
          <w:tcPr>
            <w:tcW w:type="dxa" w:w="2268"/>
          </w:tcPr>
          <w:p>
            <w:pPr>
              <w:keepNext/>
            </w:pPr>
            <w:r/>
            <w:r>
              <w:rPr>
                <w:b/>
                <w:sz w:val="19"/>
              </w:rPr>
              <w:t>Entradas</w:t>
            </w:r>
          </w:p>
        </w:tc>
        <w:tc>
          <w:tcPr>
            <w:tcW w:type="dxa" w:w="2948"/>
          </w:tcPr>
          <w:p>
            <w:pPr>
              <w:keepNext/>
            </w:pPr>
            <w:r/>
            <w:r>
              <w:rPr>
                <w:b/>
                <w:sz w:val="19"/>
              </w:rPr>
              <w:t>Processamento</w:t>
            </w:r>
          </w:p>
        </w:tc>
        <w:tc>
          <w:tcPr>
            <w:tcW w:type="dxa" w:w="2608"/>
          </w:tcPr>
          <w:p>
            <w:pPr>
              <w:keepNext/>
            </w:pPr>
            <w:r/>
            <w:r>
              <w:rPr>
                <w:b/>
                <w:sz w:val="19"/>
              </w:rPr>
              <w:t>Saídas</w:t>
            </w:r>
          </w:p>
        </w:tc>
      </w:tr>
      <w:tr>
        <w:trPr>
          <w:cantSplit w:val="true"/>
        </w:trPr>
        <w:tc>
          <w:tcPr>
            <w:tcW w:type="dxa" w:w="1361"/>
          </w:tcPr>
          <w:p>
            <w:pPr>
              <w:keepNext/>
            </w:pPr>
            <w:r/>
            <w:r>
              <w:rPr>
                <w:sz w:val="18"/>
              </w:rPr>
              <w:t>Fonte</w:t>
            </w:r>
          </w:p>
        </w:tc>
        <w:tc>
          <w:tcPr>
            <w:tcW w:type="dxa" w:w="2268"/>
          </w:tcPr>
          <w:p>
            <w:pPr>
              <w:keepNext/>
            </w:pPr>
            <w:r/>
            <w:r>
              <w:rPr>
                <w:sz w:val="18"/>
              </w:rPr>
              <w:t>Cópia autorizada da base, Demonstrativo Fecap v3.csv</w:t>
            </w:r>
          </w:p>
        </w:tc>
        <w:tc>
          <w:tcPr>
            <w:tcW w:type="dxa" w:w="2948"/>
          </w:tcPr>
          <w:p>
            <w:pPr>
              <w:keepNext/>
            </w:pPr>
            <w:r/>
            <w:r>
              <w:rPr>
                <w:sz w:val="18"/>
              </w:rPr>
              <w:t>Ler conforme o contrato de leitura e calcular a impressão digital SHA-256</w:t>
            </w:r>
          </w:p>
        </w:tc>
        <w:tc>
          <w:tcPr>
            <w:tcW w:type="dxa" w:w="2608"/>
          </w:tcPr>
          <w:p>
            <w:pPr>
              <w:keepNext/>
            </w:pPr>
            <w:r/>
            <w:r>
              <w:rPr>
                <w:sz w:val="18"/>
              </w:rPr>
              <w:t>Dados carregados e identificação da entrada</w:t>
            </w:r>
          </w:p>
        </w:tc>
      </w:tr>
      <w:tr>
        <w:trPr>
          <w:cantSplit w:val="true"/>
        </w:trPr>
        <w:tc>
          <w:tcPr>
            <w:tcW w:type="dxa" w:w="1361"/>
          </w:tcPr>
          <w:p>
            <w:pPr>
              <w:keepNext/>
            </w:pPr>
            <w:r/>
            <w:r>
              <w:rPr>
                <w:sz w:val="18"/>
              </w:rPr>
              <w:t>Qualidade</w:t>
            </w:r>
          </w:p>
        </w:tc>
        <w:tc>
          <w:tcPr>
            <w:tcW w:type="dxa" w:w="2268"/>
          </w:tcPr>
          <w:p>
            <w:pPr>
              <w:keepNext/>
            </w:pPr>
            <w:r/>
            <w:r>
              <w:rPr>
                <w:sz w:val="18"/>
              </w:rPr>
              <w:t>Dados lidos e regras esperadas</w:t>
            </w:r>
          </w:p>
        </w:tc>
        <w:tc>
          <w:tcPr>
            <w:tcW w:type="dxa" w:w="2948"/>
          </w:tcPr>
          <w:p>
            <w:pPr>
              <w:keepNext/>
            </w:pPr>
            <w:r/>
            <w:r>
              <w:rPr>
                <w:sz w:val="18"/>
              </w:rPr>
              <w:t>Perfil da base e 15 verificações de chave, cobertura e identidades contábeis</w:t>
            </w:r>
          </w:p>
        </w:tc>
        <w:tc>
          <w:tcPr>
            <w:tcW w:type="dxa" w:w="2608"/>
          </w:tcPr>
          <w:p>
            <w:pPr>
              <w:keepNext/>
            </w:pPr>
            <w:r/>
            <w:r>
              <w:rPr>
                <w:sz w:val="18"/>
              </w:rPr>
              <w:t>Notebook 01 e relatorio_qualidade.json</w:t>
            </w:r>
          </w:p>
        </w:tc>
      </w:tr>
      <w:tr>
        <w:trPr>
          <w:cantSplit w:val="true"/>
        </w:trPr>
        <w:tc>
          <w:tcPr>
            <w:tcW w:type="dxa" w:w="1361"/>
          </w:tcPr>
          <w:p>
            <w:pPr>
              <w:keepNext/>
            </w:pPr>
            <w:r/>
            <w:r>
              <w:rPr>
                <w:sz w:val="18"/>
              </w:rPr>
              <w:t>Preparação</w:t>
            </w:r>
          </w:p>
        </w:tc>
        <w:tc>
          <w:tcPr>
            <w:tcW w:type="dxa" w:w="2268"/>
          </w:tcPr>
          <w:p>
            <w:pPr>
              <w:keepNext/>
            </w:pPr>
            <w:r/>
            <w:r>
              <w:rPr>
                <w:sz w:val="18"/>
              </w:rPr>
              <w:t>Dados lidos e decisões documentadas</w:t>
            </w:r>
          </w:p>
        </w:tc>
        <w:tc>
          <w:tcPr>
            <w:tcW w:type="dxa" w:w="2948"/>
          </w:tcPr>
          <w:p>
            <w:pPr>
              <w:keepNext/>
            </w:pPr>
            <w:r/>
            <w:r>
              <w:rPr>
                <w:sz w:val="18"/>
              </w:rPr>
              <w:t>Selecionar, limpar, uniformizar, derivar, integrar e formatar, com as etapas intermediárias em memória (src/prepara.py e notebook 02)</w:t>
            </w:r>
          </w:p>
        </w:tc>
        <w:tc>
          <w:tcPr>
            <w:tcW w:type="dxa" w:w="2608"/>
          </w:tcPr>
          <w:p>
            <w:pPr>
              <w:keepNext/>
            </w:pPr>
            <w:r/>
            <w:r>
              <w:rPr>
                <w:sz w:val="18"/>
              </w:rPr>
              <w:t>base_analitica.parquet, base_longa.parquet, auditoria_sem_conta.parquet e dicionário de dados</w:t>
            </w:r>
          </w:p>
        </w:tc>
      </w:tr>
      <w:tr>
        <w:trPr>
          <w:cantSplit w:val="true"/>
        </w:trPr>
        <w:tc>
          <w:tcPr>
            <w:tcW w:type="dxa" w:w="1361"/>
          </w:tcPr>
          <w:p>
            <w:pPr>
              <w:keepNext/>
            </w:pPr>
            <w:r/>
            <w:r>
              <w:rPr>
                <w:sz w:val="18"/>
              </w:rPr>
              <w:t>Análises</w:t>
            </w:r>
          </w:p>
        </w:tc>
        <w:tc>
          <w:tcPr>
            <w:tcW w:type="dxa" w:w="2268"/>
          </w:tcPr>
          <w:p>
            <w:pPr>
              <w:keepNext/>
            </w:pPr>
            <w:r/>
            <w:r>
              <w:rPr>
                <w:sz w:val="18"/>
              </w:rPr>
              <w:t>Base analítica e fórmulas aprovadas</w:t>
            </w:r>
          </w:p>
        </w:tc>
        <w:tc>
          <w:tcPr>
            <w:tcW w:type="dxa" w:w="2948"/>
          </w:tcPr>
          <w:p>
            <w:pPr>
              <w:keepNext/>
            </w:pPr>
            <w:r/>
            <w:r>
              <w:rPr>
                <w:sz w:val="18"/>
              </w:rPr>
              <w:t>Estatística descritiva, demonstrativos, indicadores e classificação de cenários</w:t>
            </w:r>
          </w:p>
        </w:tc>
        <w:tc>
          <w:tcPr>
            <w:tcW w:type="dxa" w:w="2608"/>
          </w:tcPr>
          <w:p>
            <w:pPr>
              <w:keepNext/>
            </w:pPr>
            <w:r/>
            <w:r>
              <w:rPr>
                <w:sz w:val="18"/>
              </w:rPr>
              <w:t>Tabelas, gráficos, relatórios e planilha de validação</w:t>
            </w:r>
          </w:p>
        </w:tc>
      </w:tr>
      <w:tr>
        <w:trPr>
          <w:cantSplit w:val="true"/>
        </w:trPr>
        <w:tc>
          <w:tcPr>
            <w:tcW w:type="dxa" w:w="1361"/>
          </w:tcPr>
          <w:p>
            <w:pPr>
              <w:keepNext/>
            </w:pPr>
            <w:r/>
            <w:r>
              <w:rPr>
                <w:sz w:val="18"/>
              </w:rPr>
              <w:t>Produto</w:t>
            </w:r>
          </w:p>
        </w:tc>
        <w:tc>
          <w:tcPr>
            <w:tcW w:type="dxa" w:w="2268"/>
          </w:tcPr>
          <w:p>
            <w:pPr>
              <w:keepNext/>
            </w:pPr>
            <w:r/>
            <w:r>
              <w:rPr>
                <w:sz w:val="18"/>
              </w:rPr>
              <w:t>Análises validadas</w:t>
            </w:r>
          </w:p>
        </w:tc>
        <w:tc>
          <w:tcPr>
            <w:tcW w:type="dxa" w:w="2948"/>
          </w:tcPr>
          <w:p>
            <w:pPr>
              <w:keepNext/>
            </w:pPr>
            <w:r/>
            <w:r>
              <w:rPr>
                <w:sz w:val="18"/>
              </w:rPr>
              <w:t>Regressão, painel, comparações e sensibilidade</w:t>
            </w:r>
          </w:p>
        </w:tc>
        <w:tc>
          <w:tcPr>
            <w:tcW w:type="dxa" w:w="2608"/>
          </w:tcPr>
          <w:p>
            <w:pPr>
              <w:keepNext/>
            </w:pPr>
            <w:r/>
            <w:r>
              <w:rPr>
                <w:sz w:val="18"/>
              </w:rPr>
              <w:t>Painel publicado e relatórios, na Entrega 2</w:t>
            </w:r>
          </w:p>
        </w:tc>
      </w:tr>
      <w:tr>
        <w:trPr>
          <w:cantSplit w:val="true"/>
        </w:trPr>
        <w:tc>
          <w:tcPr>
            <w:tcW w:type="dxa" w:w="1361"/>
          </w:tcPr>
          <w:p>
            <w:r/>
            <w:r>
              <w:rPr>
                <w:sz w:val="18"/>
              </w:rPr>
              <w:t>Engenharia</w:t>
            </w:r>
          </w:p>
        </w:tc>
        <w:tc>
          <w:tcPr>
            <w:tcW w:type="dxa" w:w="2268"/>
          </w:tcPr>
          <w:p>
            <w:r/>
            <w:r>
              <w:rPr>
                <w:sz w:val="18"/>
              </w:rPr>
              <w:t>Enunciado, orientações, código e evidências</w:t>
            </w:r>
          </w:p>
        </w:tc>
        <w:tc>
          <w:tcPr>
            <w:tcW w:type="dxa" w:w="2948"/>
          </w:tcPr>
          <w:p>
            <w:r/>
            <w:r>
              <w:rPr>
                <w:sz w:val="18"/>
              </w:rPr>
              <w:t>Elicitar, especificar, priorizar, rastrear e revisar</w:t>
            </w:r>
          </w:p>
        </w:tc>
        <w:tc>
          <w:tcPr>
            <w:tcW w:type="dxa" w:w="2608"/>
          </w:tcPr>
          <w:p>
            <w:r/>
            <w:r>
              <w:rPr>
                <w:sz w:val="18"/>
              </w:rPr>
              <w:t>Este documento, backlog e critérios de verificação</w:t>
            </w:r>
          </w:p>
        </w:tc>
      </w:tr>
    </w:tbl>
    <w:p/>
    <w:p>
      <w:pPr>
        <w:pStyle w:val="Heading1"/>
      </w:pPr>
      <w:r>
        <w:rPr>
          <w:color w:val="1F3B57"/>
        </w:rPr>
        <w:t>9. Rastreabilidade</w:t>
      </w:r>
    </w:p>
    <w:tbl>
      <w:tblPr>
        <w:tblStyle w:val="TableGrid"/>
        <w:tblW w:type="auto" w:w="0"/>
        <w:tblLayout w:type="fixed"/>
        <w:tblLook w:firstColumn="1" w:firstRow="1" w:lastColumn="0" w:lastRow="0" w:noHBand="0" w:noVBand="1" w:val="04A0"/>
      </w:tblPr>
      <w:tblGrid>
        <w:gridCol w:w="2379"/>
        <w:gridCol w:w="2379"/>
        <w:gridCol w:w="2379"/>
        <w:gridCol w:w="2379"/>
      </w:tblGrid>
      <w:tr>
        <w:trPr>
          <w:cantSplit w:val="true"/>
          <w:tblHeader w:val="true"/>
        </w:trPr>
        <w:tc>
          <w:tcPr>
            <w:tcW w:type="dxa" w:w="1247"/>
          </w:tcPr>
          <w:p>
            <w:pPr>
              <w:keepNext/>
            </w:pPr>
            <w:r/>
            <w:r>
              <w:rPr>
                <w:b/>
                <w:sz w:val="19"/>
              </w:rPr>
              <w:t>Necessidade</w:t>
            </w:r>
          </w:p>
        </w:tc>
        <w:tc>
          <w:tcPr>
            <w:tcW w:type="dxa" w:w="1474"/>
          </w:tcPr>
          <w:p>
            <w:pPr>
              <w:keepNext/>
            </w:pPr>
            <w:r/>
            <w:r>
              <w:rPr>
                <w:b/>
                <w:sz w:val="19"/>
              </w:rPr>
              <w:t>Requisitos</w:t>
            </w:r>
          </w:p>
        </w:tc>
        <w:tc>
          <w:tcPr>
            <w:tcW w:type="dxa" w:w="3402"/>
          </w:tcPr>
          <w:p>
            <w:pPr>
              <w:keepNext/>
            </w:pPr>
            <w:r/>
            <w:r>
              <w:rPr>
                <w:b/>
                <w:sz w:val="19"/>
              </w:rPr>
              <w:t>Artefato atual</w:t>
            </w:r>
          </w:p>
        </w:tc>
        <w:tc>
          <w:tcPr>
            <w:tcW w:type="dxa" w:w="3061"/>
          </w:tcPr>
          <w:p>
            <w:pPr>
              <w:keepNext/>
            </w:pPr>
            <w:r/>
            <w:r>
              <w:rPr>
                <w:b/>
                <w:sz w:val="19"/>
              </w:rPr>
              <w:t>Como é verificado</w:t>
            </w:r>
          </w:p>
        </w:tc>
      </w:tr>
      <w:tr>
        <w:trPr>
          <w:cantSplit w:val="true"/>
        </w:trPr>
        <w:tc>
          <w:tcPr>
            <w:tcW w:type="dxa" w:w="1247"/>
          </w:tcPr>
          <w:p>
            <w:pPr>
              <w:keepNext/>
            </w:pPr>
            <w:r/>
            <w:r>
              <w:rPr>
                <w:sz w:val="18"/>
              </w:rPr>
              <w:t>RU01</w:t>
            </w:r>
          </w:p>
        </w:tc>
        <w:tc>
          <w:tcPr>
            <w:tcW w:type="dxa" w:w="1474"/>
          </w:tcPr>
          <w:p>
            <w:pPr>
              <w:keepNext/>
            </w:pPr>
            <w:r/>
            <w:r>
              <w:rPr>
                <w:sz w:val="18"/>
              </w:rPr>
              <w:t>RF01 a RF05</w:t>
            </w:r>
          </w:p>
        </w:tc>
        <w:tc>
          <w:tcPr>
            <w:tcW w:type="dxa" w:w="3402"/>
          </w:tcPr>
          <w:p>
            <w:pPr>
              <w:keepNext/>
            </w:pPr>
            <w:r/>
            <w:r>
              <w:rPr>
                <w:sz w:val="18"/>
              </w:rPr>
              <w:t>Notebooks 01 e 02, src/prepara.py, dicionário de dados e relatório de Ciência de Dados da Entrega 1</w:t>
            </w:r>
          </w:p>
        </w:tc>
        <w:tc>
          <w:tcPr>
            <w:tcW w:type="dxa" w:w="3061"/>
          </w:tcPr>
          <w:p>
            <w:pPr>
              <w:keepNext/>
            </w:pPr>
            <w:r/>
            <w:r>
              <w:rPr>
                <w:sz w:val="18"/>
              </w:rPr>
              <w:t>Reexecução do script, que para se alguma das 15 verificações falhar, e comando git check-ignore da base</w:t>
            </w:r>
          </w:p>
        </w:tc>
      </w:tr>
      <w:tr>
        <w:trPr>
          <w:cantSplit w:val="true"/>
        </w:trPr>
        <w:tc>
          <w:tcPr>
            <w:tcW w:type="dxa" w:w="1247"/>
          </w:tcPr>
          <w:p>
            <w:pPr>
              <w:keepNext/>
            </w:pPr>
            <w:r/>
            <w:r>
              <w:rPr>
                <w:sz w:val="18"/>
              </w:rPr>
              <w:t>RU02</w:t>
            </w:r>
          </w:p>
        </w:tc>
        <w:tc>
          <w:tcPr>
            <w:tcW w:type="dxa" w:w="1474"/>
          </w:tcPr>
          <w:p>
            <w:pPr>
              <w:keepNext/>
            </w:pPr>
            <w:r/>
            <w:r>
              <w:rPr>
                <w:sz w:val="18"/>
              </w:rPr>
              <w:t>RF06 e RF07</w:t>
            </w:r>
          </w:p>
        </w:tc>
        <w:tc>
          <w:tcPr>
            <w:tcW w:type="dxa" w:w="3402"/>
          </w:tcPr>
          <w:p>
            <w:pPr>
              <w:keepNext/>
            </w:pPr>
            <w:r/>
            <w:r>
              <w:rPr>
                <w:sz w:val="18"/>
              </w:rPr>
              <w:t>Notebook 01 (percentis, dispersão e distribuição do resultado) e entrega de Análise Inferencial</w:t>
            </w:r>
          </w:p>
        </w:tc>
        <w:tc>
          <w:tcPr>
            <w:tcW w:type="dxa" w:w="3061"/>
          </w:tcPr>
          <w:p>
            <w:pPr>
              <w:keepNext/>
            </w:pPr>
            <w:r/>
            <w:r>
              <w:rPr>
                <w:sz w:val="18"/>
              </w:rPr>
              <w:t>Conferência das medidas e dos recortes</w:t>
            </w:r>
          </w:p>
        </w:tc>
      </w:tr>
      <w:tr>
        <w:trPr>
          <w:cantSplit w:val="true"/>
        </w:trPr>
        <w:tc>
          <w:tcPr>
            <w:tcW w:type="dxa" w:w="1247"/>
          </w:tcPr>
          <w:p>
            <w:pPr>
              <w:keepNext/>
            </w:pPr>
            <w:r/>
            <w:r>
              <w:rPr>
                <w:sz w:val="18"/>
              </w:rPr>
              <w:t>RU03</w:t>
            </w:r>
          </w:p>
        </w:tc>
        <w:tc>
          <w:tcPr>
            <w:tcW w:type="dxa" w:w="1474"/>
          </w:tcPr>
          <w:p>
            <w:pPr>
              <w:keepNext/>
            </w:pPr>
            <w:r/>
            <w:r>
              <w:rPr>
                <w:sz w:val="18"/>
              </w:rPr>
              <w:t>RF08 e RF15</w:t>
            </w:r>
          </w:p>
        </w:tc>
        <w:tc>
          <w:tcPr>
            <w:tcW w:type="dxa" w:w="3402"/>
          </w:tcPr>
          <w:p>
            <w:pPr>
              <w:keepNext/>
            </w:pPr>
            <w:r/>
            <w:r>
              <w:rPr>
                <w:sz w:val="18"/>
              </w:rPr>
              <w:t>Dicionário de KPIs e planilha de validação da entrega de Contabilidade e Finanças</w:t>
            </w:r>
          </w:p>
        </w:tc>
        <w:tc>
          <w:tcPr>
            <w:tcW w:type="dxa" w:w="3061"/>
          </w:tcPr>
          <w:p>
            <w:pPr>
              <w:keepNext/>
            </w:pPr>
            <w:r/>
            <w:r>
              <w:rPr>
                <w:sz w:val="18"/>
              </w:rPr>
              <w:t>Recálculo independente em planilha</w:t>
            </w:r>
          </w:p>
        </w:tc>
      </w:tr>
      <w:tr>
        <w:trPr>
          <w:cantSplit w:val="true"/>
        </w:trPr>
        <w:tc>
          <w:tcPr>
            <w:tcW w:type="dxa" w:w="1247"/>
          </w:tcPr>
          <w:p>
            <w:pPr>
              <w:keepNext/>
            </w:pPr>
            <w:r/>
            <w:r>
              <w:rPr>
                <w:sz w:val="18"/>
              </w:rPr>
              <w:t>RU04</w:t>
            </w:r>
          </w:p>
        </w:tc>
        <w:tc>
          <w:tcPr>
            <w:tcW w:type="dxa" w:w="1474"/>
          </w:tcPr>
          <w:p>
            <w:pPr>
              <w:keepNext/>
            </w:pPr>
            <w:r/>
            <w:r>
              <w:rPr>
                <w:sz w:val="18"/>
              </w:rPr>
              <w:t>RF09 a RF11 e RF13</w:t>
            </w:r>
          </w:p>
        </w:tc>
        <w:tc>
          <w:tcPr>
            <w:tcW w:type="dxa" w:w="3402"/>
          </w:tcPr>
          <w:p>
            <w:pPr>
              <w:keepNext/>
            </w:pPr>
            <w:r/>
            <w:r>
              <w:rPr>
                <w:sz w:val="18"/>
              </w:rPr>
              <w:t>Relatórios da Entrega 1; painel e relatórios finais na Entrega 2</w:t>
            </w:r>
          </w:p>
        </w:tc>
        <w:tc>
          <w:tcPr>
            <w:tcW w:type="dxa" w:w="3061"/>
          </w:tcPr>
          <w:p>
            <w:pPr>
              <w:keepNext/>
            </w:pPr>
            <w:r/>
            <w:r>
              <w:rPr>
                <w:sz w:val="18"/>
              </w:rPr>
              <w:t>Roteiro de demonstração</w:t>
            </w:r>
          </w:p>
        </w:tc>
      </w:tr>
      <w:tr>
        <w:trPr>
          <w:cantSplit w:val="true"/>
        </w:trPr>
        <w:tc>
          <w:tcPr>
            <w:tcW w:type="dxa" w:w="1247"/>
          </w:tcPr>
          <w:p>
            <w:r/>
            <w:r>
              <w:rPr>
                <w:sz w:val="18"/>
              </w:rPr>
              <w:t>RU05</w:t>
            </w:r>
          </w:p>
        </w:tc>
        <w:tc>
          <w:tcPr>
            <w:tcW w:type="dxa" w:w="1474"/>
          </w:tcPr>
          <w:p>
            <w:r/>
            <w:r>
              <w:rPr>
                <w:sz w:val="18"/>
              </w:rPr>
              <w:t>RF12 e RF14</w:t>
            </w:r>
          </w:p>
        </w:tc>
        <w:tc>
          <w:tcPr>
            <w:tcW w:type="dxa" w:w="3402"/>
          </w:tcPr>
          <w:p>
            <w:r/>
            <w:r>
              <w:rPr>
                <w:sz w:val="18"/>
              </w:rPr>
              <w:t>Arquivo requirements.txt, README e células de execução no Colab dos notebooks</w:t>
            </w:r>
          </w:p>
        </w:tc>
        <w:tc>
          <w:tcPr>
            <w:tcW w:type="dxa" w:w="3061"/>
          </w:tcPr>
          <w:p>
            <w:r/>
            <w:r>
              <w:rPr>
                <w:sz w:val="18"/>
              </w:rPr>
              <w:t>Execução por outro integrante em ambiente limpo</w:t>
            </w:r>
          </w:p>
        </w:tc>
      </w:tr>
    </w:tbl>
    <w:p/>
    <w:p>
      <w:pPr>
        <w:pStyle w:val="Heading1"/>
      </w:pPr>
      <w:r>
        <w:rPr>
          <w:color w:val="1F3B57"/>
        </w:rPr>
        <w:t>10. Resultados obtidos</w:t>
      </w:r>
    </w:p>
    <w:p>
      <w:r>
        <w:rPr>
          <w:b w:val="0"/>
        </w:rPr>
        <w:t>Até esta entrega, o grupo produziu:</w:t>
      </w:r>
    </w:p>
    <w:p>
      <w:pPr>
        <w:pStyle w:val="ListBullet"/>
      </w:pPr>
      <w:r>
        <w:t>Repositório organizado, com os dados brutos e processados em pastas separadas e a base da CTI protegida do versionamento.</w:t>
      </w:r>
    </w:p>
    <w:p>
      <w:pPr>
        <w:pStyle w:val="ListBullet"/>
      </w:pPr>
      <w:r>
        <w:t>Ambiente reproduzível declarado no arquivo requirements.txt.</w:t>
      </w:r>
    </w:p>
    <w:p>
      <w:pPr>
        <w:pStyle w:val="ListBullet"/>
      </w:pPr>
      <w:r>
        <w:t>Notebook de perfil e auditoria com sete verificações de qualidade, visualizações exploratórias e o registro dos achados.</w:t>
      </w:r>
    </w:p>
    <w:p>
      <w:pPr>
        <w:pStyle w:val="ListBullet"/>
      </w:pPr>
      <w:r>
        <w:t>Script src/prepara.py e notebook 02, que geram a base analítica única com 15 verificações e interrompem a gravação se alguma falhar.</w:t>
      </w:r>
    </w:p>
    <w:p>
      <w:pPr>
        <w:pStyle w:val="ListBullet"/>
      </w:pPr>
      <w:r>
        <w:t>Dicionário de dados e relatório da Entrega 1 de Ciência de Dados.</w:t>
      </w:r>
    </w:p>
    <w:p>
      <w:pPr>
        <w:pStyle w:val="ListBullet"/>
      </w:pPr>
      <w:r>
        <w:t>Correção documentada da auditoria patrimonial e das interpretações que dependiam dela.</w:t>
      </w:r>
    </w:p>
    <w:p>
      <w:pPr>
        <w:keepNext/>
      </w:pPr>
      <w:r>
        <w:rPr>
          <w:b/>
        </w:rPr>
        <w:t>Comparando o que esperávamos com o que obtivemos:</w:t>
      </w:r>
    </w:p>
    <w:tbl>
      <w:tblPr>
        <w:tblStyle w:val="TableGrid"/>
        <w:tblW w:type="auto" w:w="0"/>
        <w:tblLayout w:type="fixed"/>
        <w:tblLook w:firstColumn="1" w:firstRow="1" w:lastColumn="0" w:lastRow="0" w:noHBand="0" w:noVBand="1" w:val="04A0"/>
      </w:tblPr>
      <w:tblGrid>
        <w:gridCol w:w="2379"/>
        <w:gridCol w:w="2379"/>
        <w:gridCol w:w="2379"/>
        <w:gridCol w:w="2379"/>
      </w:tblGrid>
      <w:tr>
        <w:trPr>
          <w:cantSplit w:val="true"/>
          <w:tblHeader w:val="true"/>
        </w:trPr>
        <w:tc>
          <w:tcPr>
            <w:tcW w:type="dxa" w:w="1474"/>
          </w:tcPr>
          <w:p>
            <w:pPr>
              <w:keepNext/>
            </w:pPr>
            <w:r/>
            <w:r>
              <w:rPr>
                <w:b/>
                <w:sz w:val="19"/>
              </w:rPr>
              <w:t>Tema</w:t>
            </w:r>
          </w:p>
        </w:tc>
        <w:tc>
          <w:tcPr>
            <w:tcW w:type="dxa" w:w="1928"/>
          </w:tcPr>
          <w:p>
            <w:pPr>
              <w:keepNext/>
            </w:pPr>
            <w:r/>
            <w:r>
              <w:rPr>
                <w:b/>
                <w:sz w:val="19"/>
              </w:rPr>
              <w:t>Esperado</w:t>
            </w:r>
          </w:p>
        </w:tc>
        <w:tc>
          <w:tcPr>
            <w:tcW w:type="dxa" w:w="3402"/>
          </w:tcPr>
          <w:p>
            <w:pPr>
              <w:keepNext/>
            </w:pPr>
            <w:r/>
            <w:r>
              <w:rPr>
                <w:b/>
                <w:sz w:val="19"/>
              </w:rPr>
              <w:t>Obtido</w:t>
            </w:r>
          </w:p>
        </w:tc>
        <w:tc>
          <w:tcPr>
            <w:tcW w:type="dxa" w:w="2381"/>
          </w:tcPr>
          <w:p>
            <w:pPr>
              <w:keepNext/>
            </w:pPr>
            <w:r/>
            <w:r>
              <w:rPr>
                <w:b/>
                <w:sz w:val="19"/>
              </w:rPr>
              <w:t>Próximo passo</w:t>
            </w:r>
          </w:p>
        </w:tc>
      </w:tr>
      <w:tr>
        <w:trPr>
          <w:cantSplit w:val="true"/>
        </w:trPr>
        <w:tc>
          <w:tcPr>
            <w:tcW w:type="dxa" w:w="1474"/>
          </w:tcPr>
          <w:p>
            <w:pPr>
              <w:keepNext/>
            </w:pPr>
            <w:r/>
            <w:r>
              <w:rPr>
                <w:sz w:val="18"/>
              </w:rPr>
              <w:t>Qualidade dos dados</w:t>
            </w:r>
          </w:p>
        </w:tc>
        <w:tc>
          <w:tcPr>
            <w:tcW w:type="dxa" w:w="1928"/>
          </w:tcPr>
          <w:p>
            <w:pPr>
              <w:keepNext/>
            </w:pPr>
            <w:r/>
            <w:r>
              <w:rPr>
                <w:sz w:val="18"/>
              </w:rPr>
              <w:t>Auditoria coerente com a convenção contábil</w:t>
            </w:r>
          </w:p>
        </w:tc>
        <w:tc>
          <w:tcPr>
            <w:tcW w:type="dxa" w:w="3402"/>
          </w:tcPr>
          <w:p>
            <w:pPr>
              <w:keepNext/>
            </w:pPr>
            <w:r/>
            <w:r>
              <w:rPr>
                <w:sz w:val="18"/>
              </w:rPr>
              <w:t>Balanço, DRE e fluxo de caixa fecham nos 14.400 grupos. Identificamos 94 cenários com trajetória idêntica, com 93 cópias, e descobrimos o que são as linhas sem nome de conta</w:t>
            </w:r>
          </w:p>
        </w:tc>
        <w:tc>
          <w:tcPr>
            <w:tcW w:type="dxa" w:w="2381"/>
          </w:tcPr>
          <w:p>
            <w:pPr>
              <w:keepNext/>
            </w:pPr>
            <w:r/>
            <w:r>
              <w:rPr>
                <w:sz w:val="18"/>
              </w:rPr>
              <w:t>Confirmar com a CTI como os cenários repetidos entram nos indicadores</w:t>
            </w:r>
          </w:p>
        </w:tc>
      </w:tr>
      <w:tr>
        <w:trPr>
          <w:cantSplit w:val="true"/>
        </w:trPr>
        <w:tc>
          <w:tcPr>
            <w:tcW w:type="dxa" w:w="1474"/>
          </w:tcPr>
          <w:p>
            <w:pPr>
              <w:keepNext/>
            </w:pPr>
            <w:r/>
            <w:r>
              <w:rPr>
                <w:sz w:val="18"/>
              </w:rPr>
              <w:t>Preparação</w:t>
            </w:r>
          </w:p>
        </w:tc>
        <w:tc>
          <w:tcPr>
            <w:tcW w:type="dxa" w:w="1928"/>
          </w:tcPr>
          <w:p>
            <w:pPr>
              <w:keepNext/>
            </w:pPr>
            <w:r/>
            <w:r>
              <w:rPr>
                <w:sz w:val="18"/>
              </w:rPr>
              <w:t>Processo reproduzível e base analítica salva</w:t>
            </w:r>
          </w:p>
        </w:tc>
        <w:tc>
          <w:tcPr>
            <w:tcW w:type="dxa" w:w="3402"/>
          </w:tcPr>
          <w:p>
            <w:pPr>
              <w:keepNext/>
            </w:pPr>
            <w:r/>
            <w:r>
              <w:rPr>
                <w:sz w:val="18"/>
              </w:rPr>
              <w:t>Script e notebook 02 geram a base analítica com 14.400 linhas e 81 campos; a mesma entrada gera a mesma base, e uma verificação reprovada impede a gravação</w:t>
            </w:r>
          </w:p>
        </w:tc>
        <w:tc>
          <w:tcPr>
            <w:tcW w:type="dxa" w:w="2381"/>
          </w:tcPr>
          <w:p>
            <w:pPr>
              <w:keepNext/>
            </w:pPr>
            <w:r/>
            <w:r>
              <w:rPr>
                <w:sz w:val="18"/>
              </w:rPr>
              <w:t>Executar os notebooks no Colab por outro integrante</w:t>
            </w:r>
          </w:p>
        </w:tc>
      </w:tr>
      <w:tr>
        <w:trPr>
          <w:cantSplit w:val="true"/>
        </w:trPr>
        <w:tc>
          <w:tcPr>
            <w:tcW w:type="dxa" w:w="1474"/>
          </w:tcPr>
          <w:p>
            <w:pPr>
              <w:keepNext/>
            </w:pPr>
            <w:r/>
            <w:r>
              <w:rPr>
                <w:sz w:val="18"/>
              </w:rPr>
              <w:t>Descritiva</w:t>
            </w:r>
          </w:p>
        </w:tc>
        <w:tc>
          <w:tcPr>
            <w:tcW w:type="dxa" w:w="1928"/>
          </w:tcPr>
          <w:p>
            <w:pPr>
              <w:keepNext/>
            </w:pPr>
            <w:r/>
            <w:r>
              <w:rPr>
                <w:sz w:val="18"/>
              </w:rPr>
              <w:t>Medidas e gráficos com interpretação</w:t>
            </w:r>
          </w:p>
        </w:tc>
        <w:tc>
          <w:tcPr>
            <w:tcW w:type="dxa" w:w="3402"/>
          </w:tcPr>
          <w:p>
            <w:pPr>
              <w:keepNext/>
            </w:pPr>
            <w:r/>
            <w:r>
              <w:rPr>
                <w:sz w:val="18"/>
              </w:rPr>
              <w:t>Percentis, coeficiente de variação, dispersão absoluta e dois gráficos. A revisão mostrou que o coeficiente de variação do caixa, inflado por médias perto de zero, não sustentava a conclusão inicial</w:t>
            </w:r>
          </w:p>
        </w:tc>
        <w:tc>
          <w:tcPr>
            <w:tcW w:type="dxa" w:w="2381"/>
          </w:tcPr>
          <w:p>
            <w:pPr>
              <w:keepNext/>
            </w:pPr>
            <w:r/>
            <w:r>
              <w:rPr>
                <w:sz w:val="18"/>
              </w:rPr>
              <w:t>Completar as cinco medidas e os boxplots na entrega de Análise Inferencial</w:t>
            </w:r>
          </w:p>
        </w:tc>
      </w:tr>
      <w:tr>
        <w:trPr>
          <w:cantSplit w:val="true"/>
        </w:trPr>
        <w:tc>
          <w:tcPr>
            <w:tcW w:type="dxa" w:w="1474"/>
          </w:tcPr>
          <w:p>
            <w:pPr>
              <w:keepNext/>
            </w:pPr>
            <w:r/>
            <w:r>
              <w:rPr>
                <w:sz w:val="18"/>
              </w:rPr>
              <w:t>Finanças</w:t>
            </w:r>
          </w:p>
        </w:tc>
        <w:tc>
          <w:tcPr>
            <w:tcW w:type="dxa" w:w="1928"/>
          </w:tcPr>
          <w:p>
            <w:pPr>
              <w:keepNext/>
            </w:pPr>
            <w:r/>
            <w:r>
              <w:rPr>
                <w:sz w:val="18"/>
              </w:rPr>
              <w:t>Índices e classificação com regras aprovadas</w:t>
            </w:r>
          </w:p>
        </w:tc>
        <w:tc>
          <w:tcPr>
            <w:tcW w:type="dxa" w:w="3402"/>
          </w:tcPr>
          <w:p>
            <w:pPr>
              <w:keepNext/>
            </w:pPr>
            <w:r/>
            <w:r>
              <w:rPr>
                <w:sz w:val="18"/>
              </w:rPr>
              <w:t>As fórmulas dos índices vieram da aula, mas o sinal do passivo circulante e a memória do EBITDA seguem em aberto</w:t>
            </w:r>
          </w:p>
        </w:tc>
        <w:tc>
          <w:tcPr>
            <w:tcW w:type="dxa" w:w="2381"/>
          </w:tcPr>
          <w:p>
            <w:pPr>
              <w:keepNext/>
            </w:pPr>
            <w:r/>
            <w:r>
              <w:rPr>
                <w:sz w:val="18"/>
              </w:rPr>
              <w:t>Confirmar com o professor e com a CTI antes de calcular</w:t>
            </w:r>
          </w:p>
        </w:tc>
      </w:tr>
      <w:tr>
        <w:trPr>
          <w:cantSplit w:val="true"/>
        </w:trPr>
        <w:tc>
          <w:tcPr>
            <w:tcW w:type="dxa" w:w="1474"/>
          </w:tcPr>
          <w:p>
            <w:r/>
            <w:r>
              <w:rPr>
                <w:sz w:val="18"/>
              </w:rPr>
              <w:t>Gestão</w:t>
            </w:r>
          </w:p>
        </w:tc>
        <w:tc>
          <w:tcPr>
            <w:tcW w:type="dxa" w:w="1928"/>
          </w:tcPr>
          <w:p>
            <w:r/>
            <w:r>
              <w:rPr>
                <w:sz w:val="18"/>
              </w:rPr>
              <w:t>Fluxo visível e itens rastreáveis</w:t>
            </w:r>
          </w:p>
        </w:tc>
        <w:tc>
          <w:tcPr>
            <w:tcW w:type="dxa" w:w="3402"/>
          </w:tcPr>
          <w:p>
            <w:r/>
            <w:r>
              <w:rPr>
                <w:sz w:val="18"/>
              </w:rPr>
              <w:t>Commits por resultado e revisão cruzada antes da entrega, com o quadro de tarefas ainda informal</w:t>
            </w:r>
          </w:p>
        </w:tc>
        <w:tc>
          <w:tcPr>
            <w:tcW w:type="dxa" w:w="2381"/>
          </w:tcPr>
          <w:p>
            <w:r/>
            <w:r>
              <w:rPr>
                <w:sz w:val="18"/>
              </w:rPr>
              <w:t>Formalizar o quadro no GitHub Projects</w:t>
            </w:r>
          </w:p>
        </w:tc>
      </w:tr>
    </w:tbl>
    <w:p/>
    <w:p>
      <w:pPr>
        <w:pStyle w:val="Heading1"/>
      </w:pPr>
      <w:r>
        <w:rPr>
          <w:color w:val="1F3B57"/>
        </w:rPr>
        <w:t>11. Riscos e decisões em aberto</w:t>
      </w:r>
    </w:p>
    <w:tbl>
      <w:tblPr>
        <w:tblStyle w:val="TableGrid"/>
        <w:tblW w:type="auto" w:w="0"/>
        <w:tblLayout w:type="fixed"/>
        <w:tblLook w:firstColumn="1" w:firstRow="1" w:lastColumn="0" w:lastRow="0" w:noHBand="0" w:noVBand="1" w:val="04A0"/>
      </w:tblPr>
      <w:tblGrid>
        <w:gridCol w:w="3173"/>
        <w:gridCol w:w="3173"/>
        <w:gridCol w:w="3173"/>
      </w:tblGrid>
      <w:tr>
        <w:trPr>
          <w:cantSplit w:val="true"/>
          <w:tblHeader w:val="true"/>
        </w:trPr>
        <w:tc>
          <w:tcPr>
            <w:tcW w:type="dxa" w:w="2494"/>
          </w:tcPr>
          <w:p>
            <w:pPr>
              <w:keepNext/>
            </w:pPr>
            <w:r/>
            <w:r>
              <w:rPr>
                <w:b/>
                <w:sz w:val="19"/>
              </w:rPr>
              <w:t>Risco</w:t>
            </w:r>
          </w:p>
        </w:tc>
        <w:tc>
          <w:tcPr>
            <w:tcW w:type="dxa" w:w="3175"/>
          </w:tcPr>
          <w:p>
            <w:pPr>
              <w:keepNext/>
            </w:pPr>
            <w:r/>
            <w:r>
              <w:rPr>
                <w:b/>
                <w:sz w:val="19"/>
              </w:rPr>
              <w:t>Impacto</w:t>
            </w:r>
          </w:p>
        </w:tc>
        <w:tc>
          <w:tcPr>
            <w:tcW w:type="dxa" w:w="3515"/>
          </w:tcPr>
          <w:p>
            <w:pPr>
              <w:keepNext/>
            </w:pPr>
            <w:r/>
            <w:r>
              <w:rPr>
                <w:b/>
                <w:sz w:val="19"/>
              </w:rPr>
              <w:t>O que fazemos</w:t>
            </w:r>
          </w:p>
        </w:tc>
      </w:tr>
      <w:tr>
        <w:trPr>
          <w:cantSplit w:val="true"/>
        </w:trPr>
        <w:tc>
          <w:tcPr>
            <w:tcW w:type="dxa" w:w="2494"/>
          </w:tcPr>
          <w:p>
            <w:pPr>
              <w:keepNext/>
            </w:pPr>
            <w:r/>
            <w:r>
              <w:rPr>
                <w:sz w:val="18"/>
              </w:rPr>
              <w:t>Divulgação indevida da base</w:t>
            </w:r>
          </w:p>
        </w:tc>
        <w:tc>
          <w:tcPr>
            <w:tcW w:type="dxa" w:w="3175"/>
          </w:tcPr>
          <w:p>
            <w:pPr>
              <w:keepNext/>
            </w:pPr>
            <w:r/>
            <w:r>
              <w:rPr>
                <w:sz w:val="18"/>
              </w:rPr>
              <w:t>Quebra de confidencialidade em repositório público</w:t>
            </w:r>
          </w:p>
        </w:tc>
        <w:tc>
          <w:tcPr>
            <w:tcW w:type="dxa" w:w="3515"/>
          </w:tcPr>
          <w:p>
            <w:pPr>
              <w:keepNext/>
            </w:pPr>
            <w:r/>
            <w:r>
              <w:rPr>
                <w:sz w:val="18"/>
              </w:rPr>
              <w:t>Base fora do versionamento, notebooks sem linhas da base e revisão das saídas antes de cada envio</w:t>
            </w:r>
          </w:p>
        </w:tc>
      </w:tr>
      <w:tr>
        <w:trPr>
          <w:cantSplit w:val="true"/>
        </w:trPr>
        <w:tc>
          <w:tcPr>
            <w:tcW w:type="dxa" w:w="2494"/>
          </w:tcPr>
          <w:p>
            <w:pPr>
              <w:keepNext/>
            </w:pPr>
            <w:r/>
            <w:r>
              <w:rPr>
                <w:sz w:val="18"/>
              </w:rPr>
              <w:t>Regra financeira ambígua</w:t>
            </w:r>
          </w:p>
        </w:tc>
        <w:tc>
          <w:tcPr>
            <w:tcW w:type="dxa" w:w="3175"/>
          </w:tcPr>
          <w:p>
            <w:pPr>
              <w:keepNext/>
            </w:pPr>
            <w:r/>
            <w:r>
              <w:rPr>
                <w:sz w:val="18"/>
              </w:rPr>
              <w:t>Índices e classificação incompatíveis, com retrabalho</w:t>
            </w:r>
          </w:p>
        </w:tc>
        <w:tc>
          <w:tcPr>
            <w:tcW w:type="dxa" w:w="3515"/>
          </w:tcPr>
          <w:p>
            <w:pPr>
              <w:keepNext/>
            </w:pPr>
            <w:r/>
            <w:r>
              <w:rPr>
                <w:sz w:val="18"/>
              </w:rPr>
              <w:t>Confirmar fórmulas, período e critérios antes de calcular</w:t>
            </w:r>
          </w:p>
        </w:tc>
      </w:tr>
      <w:tr>
        <w:trPr>
          <w:cantSplit w:val="true"/>
        </w:trPr>
        <w:tc>
          <w:tcPr>
            <w:tcW w:type="dxa" w:w="2494"/>
          </w:tcPr>
          <w:p>
            <w:pPr>
              <w:keepNext/>
            </w:pPr>
            <w:r/>
            <w:r>
              <w:rPr>
                <w:sz w:val="18"/>
              </w:rPr>
              <w:t>Interpretação equivocada dos dados</w:t>
            </w:r>
          </w:p>
        </w:tc>
        <w:tc>
          <w:tcPr>
            <w:tcW w:type="dxa" w:w="3175"/>
          </w:tcPr>
          <w:p>
            <w:pPr>
              <w:keepNext/>
            </w:pPr>
            <w:r/>
            <w:r>
              <w:rPr>
                <w:sz w:val="18"/>
              </w:rPr>
              <w:t>Conclusões erradas, como aconteceu no teste do balanço</w:t>
            </w:r>
          </w:p>
        </w:tc>
        <w:tc>
          <w:tcPr>
            <w:tcW w:type="dxa" w:w="3515"/>
          </w:tcPr>
          <w:p>
            <w:pPr>
              <w:keepNext/>
            </w:pPr>
            <w:r/>
            <w:r>
              <w:rPr>
                <w:sz w:val="18"/>
              </w:rPr>
              <w:t>Revisão por outra pessoa e registro das correções</w:t>
            </w:r>
          </w:p>
        </w:tc>
      </w:tr>
      <w:tr>
        <w:trPr>
          <w:cantSplit w:val="true"/>
        </w:trPr>
        <w:tc>
          <w:tcPr>
            <w:tcW w:type="dxa" w:w="2494"/>
          </w:tcPr>
          <w:p>
            <w:pPr>
              <w:keepNext/>
            </w:pPr>
            <w:r/>
            <w:r>
              <w:rPr>
                <w:sz w:val="18"/>
              </w:rPr>
              <w:t>Integração entre as frentes</w:t>
            </w:r>
          </w:p>
        </w:tc>
        <w:tc>
          <w:tcPr>
            <w:tcW w:type="dxa" w:w="3175"/>
          </w:tcPr>
          <w:p>
            <w:pPr>
              <w:keepNext/>
            </w:pPr>
            <w:r/>
            <w:r>
              <w:rPr>
                <w:sz w:val="18"/>
              </w:rPr>
              <w:t>Números diferentes entre notebook, planilha e relatórios</w:t>
            </w:r>
          </w:p>
        </w:tc>
        <w:tc>
          <w:tcPr>
            <w:tcW w:type="dxa" w:w="3515"/>
          </w:tcPr>
          <w:p>
            <w:pPr>
              <w:keepNext/>
            </w:pPr>
            <w:r/>
            <w:r>
              <w:rPr>
                <w:sz w:val="18"/>
              </w:rPr>
              <w:t>Base analítica única compartilhada e conferência cruzada antes do envio</w:t>
            </w:r>
          </w:p>
        </w:tc>
      </w:tr>
      <w:tr>
        <w:trPr>
          <w:cantSplit w:val="true"/>
        </w:trPr>
        <w:tc>
          <w:tcPr>
            <w:tcW w:type="dxa" w:w="2494"/>
          </w:tcPr>
          <w:p>
            <w:r/>
            <w:r>
              <w:rPr>
                <w:sz w:val="18"/>
              </w:rPr>
              <w:t>Dependência de resposta externa</w:t>
            </w:r>
          </w:p>
        </w:tc>
        <w:tc>
          <w:tcPr>
            <w:tcW w:type="dxa" w:w="3175"/>
          </w:tcPr>
          <w:p>
            <w:r/>
            <w:r>
              <w:rPr>
                <w:sz w:val="18"/>
              </w:rPr>
              <w:t>Itens de Finanças parados</w:t>
            </w:r>
          </w:p>
        </w:tc>
        <w:tc>
          <w:tcPr>
            <w:tcW w:type="dxa" w:w="3515"/>
          </w:tcPr>
          <w:p>
            <w:r/>
            <w:r>
              <w:rPr>
                <w:sz w:val="18"/>
              </w:rPr>
              <w:t>Marcar o bloqueio e avançar no que não depende da resposta</w:t>
            </w:r>
          </w:p>
        </w:tc>
      </w:tr>
    </w:tbl>
    <w:p/>
    <w:p>
      <w:r>
        <w:rPr>
          <w:b w:val="0"/>
        </w:rPr>
        <w:t>Seguem em aberto: o tratamento dos cenários repetidos, a leitura do sinal do passivo circulante, a memória de cálculo do EBITDA, a regra de classificação de cenários, a premissa de custo de capital para indicadores de valor, a autorização para publicar valores agregados e o formato de entrega do notebook.</w:t>
      </w:r>
    </w:p>
    <w:p>
      <w:pPr>
        <w:pStyle w:val="Heading1"/>
      </w:pPr>
      <w:r>
        <w:rPr>
          <w:color w:val="1F3B57"/>
        </w:rPr>
        <w:t>12. Observações do grupo</w:t>
      </w:r>
    </w:p>
    <w:p>
      <w:r>
        <w:rPr>
          <w:b w:val="0"/>
        </w:rPr>
        <w:t>A primeira lição foi sobre confiar em verificação automática. O teste do balanço estava certo como código e errado como regra de negócio, e por isso gerou um alerta grave que não existia. Se ele tivesse ido para o relatório, teríamos afirmado a uma empresa de contabilidade que o balanço dela não fecha. Desde então, a regra é conferir a premissa contábil antes de transformar um resultado em achado. A regra sozinha não bastou: na revisão cruzada de 22 de setembro, caiu também uma conclusão estatística do relatório de Ciência de Dados, a de que a incerteza da simulação estava concentrada no caixa, porque ela se apoiava num coeficiente de variação inflado por médias perto de zero. Por isso a revisão por outra pessoa continua obrigatória antes de cada entrega.</w:t>
      </w:r>
    </w:p>
    <w:p>
      <w:r>
        <w:rPr>
          <w:b w:val="0"/>
        </w:rPr>
        <w:t>A segunda lição foi a diferença entre um teste que informa e um teste que bloqueia. A primeira versão do script de preparação imprimia FALHA e gravava a base mesmo assim. Hoje uma verificação reprovada interrompe a execução antes de gravar qualquer arquivo.</w:t>
      </w:r>
    </w:p>
    <w:p>
      <w:r>
        <w:rPr>
          <w:b w:val="0"/>
        </w:rPr>
        <w:t>A terceira lição foi que indicador depende do significado do dado. Exemplos genéricos como ticket médio ou custo de aquisição de clientes não têm sentido numa base de demonstrações projetadas de uma concessão. Propor primeiro a perspectiva de análise evitou que produzíssemos números sem interpretação possível.</w:t>
      </w:r>
    </w:p>
    <w:p>
      <w:r>
        <w:rPr>
          <w:b w:val="0"/>
        </w:rPr>
        <w:t>A quarta lição é de organização. Combinamos que cada integrante ficaria com uma entrega, o que funciona para dividir a escrita, mas cria um risco real: as quatro frentes usam os mesmos dados e os mesmos números. Se cada um preparar a base do seu jeito, a média da análise estatística não vai bater com o índice do relatório financeiro. A decisão foi produzir uma base analítica única antes das análises e fazer conferência cruzada antes do envio.</w:t>
      </w:r>
    </w:p>
    <w:p>
      <w:r>
        <w:rPr>
          <w:b w:val="0"/>
        </w:rPr>
        <w:t>Para a Entrega 2, pretendemos formalizar o quadro de tarefas no GitHub Projects, registrar as decisões técnicas em arquivo versionado e manter a rastreabilidade entre requisito, artefato e verificação conforme a implementação avança.</w:t>
      </w:r>
    </w:p>
    <w:p>
      <w:pPr>
        <w:pStyle w:val="Heading1"/>
      </w:pPr>
      <w:r>
        <w:rPr>
          <w:color w:val="1F3B57"/>
        </w:rPr>
        <w:t>13. Referências</w:t>
      </w:r>
    </w:p>
    <w:p>
      <w:pPr>
        <w:pStyle w:val="ListBullet"/>
      </w:pPr>
      <w:r>
        <w:t>FECAP. Projeto Interdisciplinar CTI: Plataforma Analítica de Planejamento Financeiro. Enunciado oficial, 4º CCOMP, 2026/2.</w:t>
      </w:r>
    </w:p>
    <w:p>
      <w:pPr>
        <w:pStyle w:val="ListBullet"/>
      </w:pPr>
      <w:r>
        <w:t>CTI Global. Orientações sobre a natureza da base de dados e a simulação de cenários. Comunicação à turma, 08/09/2026.</w:t>
      </w:r>
    </w:p>
    <w:p>
      <w:pPr>
        <w:pStyle w:val="ListBullet"/>
      </w:pPr>
      <w:r>
        <w:t>Material da disciplina Projeto Interdisciplinar Ciência de Dados: CRISP-DM (Aula 04) e preparação de dados com Python (Aula 05).</w:t>
      </w:r>
    </w:p>
    <w:p>
      <w:pPr>
        <w:pStyle w:val="ListBullet"/>
      </w:pPr>
      <w:r>
        <w:t>Material da disciplina Contabilidade e Finanças: demonstrações contábeis, índices de liquidez e endividamento, EBITDA, EVA e MVA.</w:t>
      </w:r>
    </w:p>
    <w:p>
      <w:pPr>
        <w:pStyle w:val="ListBullet"/>
      </w:pPr>
      <w:r>
        <w:t>Repositório do projeto: github.com/2026-2-NCC4/Projeto6.</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