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ABE5" w14:textId="541A0BF1" w:rsidR="00982175" w:rsidRPr="005E06F8" w:rsidRDefault="00157FA7" w:rsidP="005E06F8">
      <w:pPr>
        <w:spacing w:before="2400"/>
        <w:jc w:val="center"/>
        <w:rPr>
          <w:b/>
          <w:bCs/>
          <w:color w:val="E97132" w:themeColor="accent2"/>
          <w:sz w:val="44"/>
          <w:szCs w:val="44"/>
        </w:rPr>
      </w:pPr>
      <w:r>
        <w:rPr>
          <w:b/>
          <w:bCs/>
          <w:color w:val="E97132" w:themeColor="accent2"/>
          <w:sz w:val="96"/>
          <w:szCs w:val="96"/>
        </w:rPr>
        <w:t>Meninos do Back</w:t>
      </w:r>
      <w:r>
        <w:rPr>
          <w:b/>
          <w:bCs/>
          <w:color w:val="E97132" w:themeColor="accent2"/>
          <w:sz w:val="44"/>
          <w:szCs w:val="44"/>
        </w:rPr>
        <w:br/>
      </w:r>
      <w:r w:rsidR="005E06F8" w:rsidRPr="005E06F8">
        <w:rPr>
          <w:b/>
          <w:bCs/>
          <w:color w:val="E97132" w:themeColor="accent2"/>
          <w:sz w:val="44"/>
          <w:szCs w:val="44"/>
        </w:rPr>
        <w:t>Análise Inferencial de Dados</w:t>
      </w:r>
    </w:p>
    <w:p w14:paraId="405F4D41" w14:textId="6D621865" w:rsidR="00982175" w:rsidRDefault="00000000" w:rsidP="00157FA7">
      <w:pPr>
        <w:spacing w:before="200" w:after="200"/>
        <w:jc w:val="center"/>
        <w:rPr>
          <w:b/>
          <w:bCs/>
          <w:color w:val="E97132" w:themeColor="accent2"/>
          <w:sz w:val="26"/>
          <w:szCs w:val="26"/>
        </w:rPr>
      </w:pPr>
      <w:r w:rsidRPr="00157FA7">
        <w:rPr>
          <w:color w:val="E97132" w:themeColor="accent2"/>
          <w:sz w:val="26"/>
          <w:szCs w:val="26"/>
        </w:rPr>
        <w:t xml:space="preserve">Entrega 01 — </w:t>
      </w:r>
      <w:r w:rsidR="00157FA7" w:rsidRPr="00157FA7">
        <w:rPr>
          <w:b/>
          <w:bCs/>
          <w:color w:val="E97132" w:themeColor="accent2"/>
          <w:sz w:val="26"/>
          <w:szCs w:val="26"/>
        </w:rPr>
        <w:t>Análise Inferencial de Dados</w:t>
      </w:r>
    </w:p>
    <w:p w14:paraId="13A2505B" w14:textId="77777777" w:rsidR="00157FA7" w:rsidRDefault="00157FA7" w:rsidP="00157FA7">
      <w:pPr>
        <w:spacing w:before="200" w:after="200"/>
        <w:jc w:val="center"/>
        <w:rPr>
          <w:b/>
          <w:bCs/>
          <w:color w:val="E97132" w:themeColor="accent2"/>
          <w:sz w:val="26"/>
          <w:szCs w:val="26"/>
        </w:rPr>
      </w:pPr>
    </w:p>
    <w:p w14:paraId="4BE62838" w14:textId="77777777" w:rsidR="00157FA7" w:rsidRDefault="00157FA7" w:rsidP="00157FA7">
      <w:pPr>
        <w:spacing w:before="200" w:after="200"/>
        <w:jc w:val="center"/>
        <w:rPr>
          <w:b/>
          <w:bCs/>
          <w:color w:val="E97132" w:themeColor="accent2"/>
          <w:sz w:val="26"/>
          <w:szCs w:val="26"/>
        </w:rPr>
      </w:pPr>
    </w:p>
    <w:p w14:paraId="7220630E" w14:textId="0FDCEC7A" w:rsidR="00157FA7" w:rsidRPr="00157FA7" w:rsidRDefault="00157FA7" w:rsidP="00157FA7">
      <w:pPr>
        <w:spacing w:before="200" w:after="200"/>
        <w:jc w:val="center"/>
        <w:rPr>
          <w:b/>
          <w:bCs/>
          <w:color w:val="E97132" w:themeColor="accent2"/>
          <w:sz w:val="26"/>
          <w:szCs w:val="26"/>
        </w:rPr>
      </w:pPr>
    </w:p>
    <w:p w14:paraId="26ED2419" w14:textId="77777777" w:rsidR="00982175" w:rsidRDefault="00000000">
      <w:r>
        <w:br w:type="page"/>
      </w:r>
    </w:p>
    <w:p w14:paraId="728E9B89" w14:textId="77777777" w:rsidR="00982175" w:rsidRDefault="00982175">
      <w:pPr>
        <w:sectPr w:rsidR="0098217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3700CE9" w14:textId="5562A2BC" w:rsidR="00982175" w:rsidRPr="00157FA7" w:rsidRDefault="00157FA7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lastRenderedPageBreak/>
        <w:t>1</w:t>
      </w:r>
      <w:r w:rsidR="00000000" w:rsidRPr="00157FA7">
        <w:rPr>
          <w:b/>
          <w:bCs/>
          <w:color w:val="E97132" w:themeColor="accent2"/>
          <w:sz w:val="30"/>
          <w:szCs w:val="30"/>
        </w:rPr>
        <w:t xml:space="preserve">. </w:t>
      </w:r>
      <w:r>
        <w:rPr>
          <w:b/>
          <w:bCs/>
          <w:color w:val="E97132" w:themeColor="accent2"/>
          <w:sz w:val="30"/>
          <w:szCs w:val="30"/>
        </w:rPr>
        <w:t>Variabilidade de Contas</w:t>
      </w:r>
    </w:p>
    <w:p w14:paraId="10C3599A" w14:textId="77777777" w:rsidR="00982175" w:rsidRDefault="00000000">
      <w:pPr>
        <w:spacing w:after="160" w:line="276" w:lineRule="auto"/>
      </w:pPr>
      <w:r>
        <w:t>Investigando a variabilidade de cada conta entre os 15 cenários, observou-se que 30 das 68 contas (44%) permanecem constantes — ou seja, não fazem parte do modelo de simulação de risco — enquanto as 38 contas restantes (56%), sobretudo as de DRE e Fluxo de Caixa, e algumas de Balanço (como Ativo e Passivo Totais), variam conforme o cenário. Essa distinção é central para a leitura correta das estatísticas apresentadas a seguir.</w:t>
      </w:r>
    </w:p>
    <w:p w14:paraId="31513633" w14:textId="77777777" w:rsidR="0098217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B450195" wp14:editId="115A6E6C">
            <wp:extent cx="3048000" cy="2409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DCE" w14:textId="5EB54669" w:rsidR="00982175" w:rsidRPr="00157FA7" w:rsidRDefault="00157FA7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t>2</w:t>
      </w:r>
      <w:r w:rsidR="00000000" w:rsidRPr="00157FA7">
        <w:rPr>
          <w:b/>
          <w:bCs/>
          <w:color w:val="E97132" w:themeColor="accent2"/>
          <w:sz w:val="30"/>
          <w:szCs w:val="30"/>
        </w:rPr>
        <w:t>. Medidas de Posição</w:t>
      </w:r>
    </w:p>
    <w:p w14:paraId="1D247CCF" w14:textId="77777777" w:rsidR="00982175" w:rsidRDefault="00000000">
      <w:pPr>
        <w:spacing w:after="160" w:line="276" w:lineRule="auto"/>
      </w:pPr>
      <w:r>
        <w:t>A tabela a seguir apresenta a média, a mediana e a moda do valor (em R$ milhões), de forma geral e por demonstrativo: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800"/>
        <w:gridCol w:w="1800"/>
        <w:gridCol w:w="1800"/>
      </w:tblGrid>
      <w:tr w:rsidR="00982175" w14:paraId="285C7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4C3EE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Recorte</w:t>
            </w:r>
          </w:p>
        </w:tc>
        <w:tc>
          <w:tcPr>
            <w:tcW w:w="14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D33D0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18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98ECD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18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818F4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1800" w:type="dxa"/>
            <w:shd w:val="clear" w:color="auto" w:fill="2E52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2113F" w14:textId="0B0E21B1" w:rsidR="00982175" w:rsidRDefault="00157FA7" w:rsidP="00157FA7">
            <w:pPr>
              <w:tabs>
                <w:tab w:val="left" w:pos="330"/>
                <w:tab w:val="center" w:pos="800"/>
              </w:tabs>
            </w:pPr>
            <w:r>
              <w:rPr>
                <w:b/>
                <w:bCs/>
                <w:color w:val="FFFFFF"/>
                <w:sz w:val="19"/>
                <w:szCs w:val="19"/>
              </w:rPr>
              <w:tab/>
            </w:r>
            <w:r>
              <w:rPr>
                <w:b/>
                <w:bCs/>
                <w:color w:val="FFFFFF"/>
                <w:sz w:val="19"/>
                <w:szCs w:val="19"/>
              </w:rPr>
              <w:tab/>
            </w:r>
            <w:r w:rsidR="00000000">
              <w:rPr>
                <w:b/>
                <w:bCs/>
                <w:color w:val="FFFFFF"/>
                <w:sz w:val="19"/>
                <w:szCs w:val="19"/>
              </w:rPr>
              <w:t>Moda</w:t>
            </w:r>
          </w:p>
        </w:tc>
      </w:tr>
      <w:tr w:rsidR="00982175" w14:paraId="17C43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84B98" w14:textId="77777777" w:rsidR="00982175" w:rsidRDefault="00000000">
            <w:r>
              <w:rPr>
                <w:sz w:val="19"/>
                <w:szCs w:val="19"/>
              </w:rPr>
              <w:t>Geral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8F15D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1.000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07365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308,25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7D823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-22,91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B8684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-7.535,76</w:t>
            </w:r>
          </w:p>
        </w:tc>
      </w:tr>
      <w:tr w:rsidR="00982175" w14:paraId="275A57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7504" w14:textId="77777777" w:rsidR="00982175" w:rsidRDefault="00000000">
            <w:r>
              <w:rPr>
                <w:sz w:val="19"/>
                <w:szCs w:val="19"/>
              </w:rPr>
              <w:t>BAL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E0335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630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DB92E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-0,05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60B01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-22,91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0F16A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-7.535,76</w:t>
            </w:r>
          </w:p>
        </w:tc>
      </w:tr>
      <w:tr w:rsidR="00982175" w14:paraId="4EA1D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634D2" w14:textId="77777777" w:rsidR="00982175" w:rsidRDefault="00000000">
            <w:r>
              <w:rPr>
                <w:sz w:val="19"/>
                <w:szCs w:val="19"/>
              </w:rPr>
              <w:t>DRE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5324E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202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C842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1.380,93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515D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39,08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017E7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39,08</w:t>
            </w:r>
          </w:p>
        </w:tc>
      </w:tr>
      <w:tr w:rsidR="00982175" w14:paraId="41FB7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DF954" w14:textId="77777777" w:rsidR="00982175" w:rsidRDefault="00000000">
            <w:r>
              <w:rPr>
                <w:sz w:val="19"/>
                <w:szCs w:val="19"/>
              </w:rPr>
              <w:t>FLU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D997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168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25A09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174,60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4DF91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-500,39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17E6B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-1.532,41</w:t>
            </w:r>
          </w:p>
        </w:tc>
      </w:tr>
    </w:tbl>
    <w:p w14:paraId="68687D22" w14:textId="77777777" w:rsidR="00982175" w:rsidRDefault="00982175">
      <w:pPr>
        <w:spacing w:after="160" w:line="276" w:lineRule="auto"/>
      </w:pPr>
    </w:p>
    <w:p w14:paraId="4AA0681C" w14:textId="042736F1" w:rsidR="00157FA7" w:rsidRPr="005E06F8" w:rsidRDefault="00000000" w:rsidP="005E06F8">
      <w:pPr>
        <w:spacing w:after="160" w:line="276" w:lineRule="auto"/>
      </w:pPr>
      <w:r>
        <w:t>A média geral (R$ 308,25 milhões) é substancialmente superior à mediana (–R$ 22,91 milhões), o que já sinaliza assimetria positiva na distribuição — poucas contas de valor muito elevado (ex.: totais de ativo/passivo, receita) puxam a média para cima. A moda, nesse tipo de dado contínuo simulado, só tem interpretação literal robusta para as contas constantes entre cenários; para as demais, deve ser lida com cautela. Por demonstrativo, o DRE concentra os maiores valores médios e medianos (positivos), coerente com uma composição predominante de contas de receita e resultado; o BAL apresenta média próxima de zero, refletindo o equilíbrio contábil entre ativos e passivos; e o FLU mostra mediana negativa, associada a saídas de caixa mais frequentes que entradas na amostra.</w:t>
      </w:r>
      <w:r w:rsidR="005E06F8">
        <w:br/>
      </w:r>
    </w:p>
    <w:p w14:paraId="0064641A" w14:textId="15149DBF" w:rsidR="00982175" w:rsidRPr="00157FA7" w:rsidRDefault="00157FA7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lastRenderedPageBreak/>
        <w:t>3</w:t>
      </w:r>
      <w:r w:rsidR="00000000" w:rsidRPr="00157FA7">
        <w:rPr>
          <w:b/>
          <w:bCs/>
          <w:color w:val="E97132" w:themeColor="accent2"/>
          <w:sz w:val="30"/>
          <w:szCs w:val="30"/>
        </w:rPr>
        <w:t>. Medidas de Dispersão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800"/>
        <w:gridCol w:w="1600"/>
      </w:tblGrid>
      <w:tr w:rsidR="00157FA7" w14:paraId="628C8935" w14:textId="77777777" w:rsidTr="005E06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0D911" w14:textId="77777777" w:rsidR="00157FA7" w:rsidRPr="005E06F8" w:rsidRDefault="00157FA7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Recorte</w:t>
            </w:r>
          </w:p>
        </w:tc>
        <w:tc>
          <w:tcPr>
            <w:tcW w:w="20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2DAD" w14:textId="77777777" w:rsidR="00157FA7" w:rsidRDefault="00157F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Variância</w:t>
            </w:r>
          </w:p>
        </w:tc>
        <w:tc>
          <w:tcPr>
            <w:tcW w:w="18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93F88" w14:textId="77777777" w:rsidR="00157FA7" w:rsidRDefault="00157F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Padrão</w:t>
            </w:r>
          </w:p>
        </w:tc>
        <w:tc>
          <w:tcPr>
            <w:tcW w:w="16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71DA5" w14:textId="77777777" w:rsidR="00157FA7" w:rsidRDefault="00157FA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Amplitude</w:t>
            </w:r>
          </w:p>
        </w:tc>
      </w:tr>
      <w:tr w:rsidR="00157FA7" w14:paraId="218610F1" w14:textId="77777777" w:rsidTr="00157F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8A9AE" w14:textId="77777777" w:rsidR="00157FA7" w:rsidRDefault="00157FA7">
            <w:r>
              <w:rPr>
                <w:sz w:val="19"/>
                <w:szCs w:val="19"/>
              </w:rPr>
              <w:t>Geral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25E43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11.167.240,7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71951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3.341,74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2FE43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23.604,09</w:t>
            </w:r>
          </w:p>
        </w:tc>
      </w:tr>
      <w:tr w:rsidR="00157FA7" w14:paraId="4D5EEA4A" w14:textId="77777777" w:rsidTr="00157F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4B482" w14:textId="77777777" w:rsidR="00157FA7" w:rsidRDefault="00157FA7">
            <w:r>
              <w:rPr>
                <w:sz w:val="19"/>
                <w:szCs w:val="19"/>
              </w:rPr>
              <w:t>BAL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B996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14.361.753,3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5B1F1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3.789,69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84D88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23.604,09</w:t>
            </w:r>
          </w:p>
        </w:tc>
      </w:tr>
      <w:tr w:rsidR="00157FA7" w14:paraId="2326FECE" w14:textId="77777777" w:rsidTr="00157F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F035B" w14:textId="77777777" w:rsidR="00157FA7" w:rsidRDefault="00157FA7">
            <w:r>
              <w:rPr>
                <w:sz w:val="19"/>
                <w:szCs w:val="19"/>
              </w:rPr>
              <w:t>DRE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0982B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6.582.090,2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A88DB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2.565,56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10E4E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8.092,44</w:t>
            </w:r>
          </w:p>
        </w:tc>
      </w:tr>
      <w:tr w:rsidR="00157FA7" w14:paraId="4C6A6D41" w14:textId="77777777" w:rsidTr="00157FA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F9E2" w14:textId="77777777" w:rsidR="00157FA7" w:rsidRDefault="00157FA7">
            <w:r>
              <w:rPr>
                <w:sz w:val="19"/>
                <w:szCs w:val="19"/>
              </w:rPr>
              <w:t>FLU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40CCC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3.019.249,4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BC2B5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1.737,60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95001" w14:textId="77777777" w:rsidR="00157FA7" w:rsidRDefault="00157FA7">
            <w:pPr>
              <w:jc w:val="center"/>
            </w:pPr>
            <w:r>
              <w:rPr>
                <w:sz w:val="19"/>
                <w:szCs w:val="19"/>
              </w:rPr>
              <w:t>6.937,01</w:t>
            </w:r>
          </w:p>
        </w:tc>
      </w:tr>
    </w:tbl>
    <w:p w14:paraId="29EE3985" w14:textId="77777777" w:rsidR="00982175" w:rsidRDefault="00982175">
      <w:pPr>
        <w:spacing w:after="160" w:line="276" w:lineRule="auto"/>
      </w:pPr>
    </w:p>
    <w:p w14:paraId="3321742A" w14:textId="7F933319" w:rsidR="00982175" w:rsidRDefault="00000000">
      <w:pPr>
        <w:spacing w:after="160" w:line="276" w:lineRule="auto"/>
      </w:pPr>
      <w:r>
        <w:t>Unidades: variância</w:t>
      </w:r>
      <w:r w:rsidR="00157FA7">
        <w:t xml:space="preserve">, </w:t>
      </w:r>
      <w:r>
        <w:t>desvio padrão, amplitude</w:t>
      </w:r>
    </w:p>
    <w:p w14:paraId="20B77520" w14:textId="69C38A27" w:rsidR="00157FA7" w:rsidRPr="005E06F8" w:rsidRDefault="00000000" w:rsidP="005E06F8">
      <w:pPr>
        <w:spacing w:after="160" w:line="276" w:lineRule="auto"/>
      </w:pPr>
      <w:r>
        <w:t>O desvio padrão geral (R$ 3.341,74 milhões) é da mesma ordem de grandeza da própria amplitude dos dados, resultando em um coeficiente de variação de aproximadamente 1.084% evidência de altíssima dispersão relativa, esperada em uma base que combina contas de naturezas e magnitudes muito distintas. Entre os demonstrativos, o BAL apresenta o maior desvio padrão absoluto (R$ 3.789,69 milhões)</w:t>
      </w:r>
      <w:r w:rsidR="005E06F8">
        <w:t>.</w:t>
      </w:r>
    </w:p>
    <w:p w14:paraId="2C5CB667" w14:textId="1D227C69" w:rsidR="00982175" w:rsidRPr="00157FA7" w:rsidRDefault="005E06F8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t>4</w:t>
      </w:r>
      <w:r w:rsidR="00000000" w:rsidRPr="00157FA7">
        <w:rPr>
          <w:b/>
          <w:bCs/>
          <w:color w:val="E97132" w:themeColor="accent2"/>
          <w:sz w:val="30"/>
          <w:szCs w:val="30"/>
        </w:rPr>
        <w:t>. Identificação de Valores Atípicos</w:t>
      </w:r>
    </w:p>
    <w:p w14:paraId="7BCE550C" w14:textId="263E1BA8" w:rsidR="00982175" w:rsidRDefault="005E06F8">
      <w:pPr>
        <w:spacing w:after="160" w:line="276" w:lineRule="auto"/>
      </w:pPr>
      <w:r>
        <w:t>Foram</w:t>
      </w:r>
      <w:r w:rsidR="00000000">
        <w:t xml:space="preserve"> identificados 191 registros atípicos no total da base. A distribuição desses outliers por demonstrativo é a seguinte: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2200"/>
      </w:tblGrid>
      <w:tr w:rsidR="00982175" w14:paraId="4A5CD30B" w14:textId="77777777" w:rsidTr="005E06F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1A013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Demonstrativo</w:t>
            </w:r>
          </w:p>
        </w:tc>
        <w:tc>
          <w:tcPr>
            <w:tcW w:w="22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6D657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Nº de registros</w:t>
            </w:r>
          </w:p>
        </w:tc>
        <w:tc>
          <w:tcPr>
            <w:tcW w:w="22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8E7E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Nº de outliers</w:t>
            </w:r>
          </w:p>
        </w:tc>
        <w:tc>
          <w:tcPr>
            <w:tcW w:w="2200" w:type="dxa"/>
            <w:shd w:val="clear" w:color="auto" w:fill="E97132" w:themeFill="accent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C24CF" w14:textId="77777777" w:rsidR="0098217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de outliers</w:t>
            </w:r>
          </w:p>
        </w:tc>
      </w:tr>
      <w:tr w:rsidR="00982175" w14:paraId="702194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92F86" w14:textId="77777777" w:rsidR="00982175" w:rsidRDefault="00000000">
            <w:r>
              <w:rPr>
                <w:sz w:val="19"/>
                <w:szCs w:val="19"/>
              </w:rPr>
              <w:t>BAL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12269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630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20437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210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88561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33,3%</w:t>
            </w:r>
          </w:p>
        </w:tc>
      </w:tr>
      <w:tr w:rsidR="00982175" w14:paraId="27211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CC29" w14:textId="77777777" w:rsidR="00982175" w:rsidRDefault="00000000">
            <w:r>
              <w:rPr>
                <w:sz w:val="19"/>
                <w:szCs w:val="19"/>
              </w:rPr>
              <w:t>DRE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71558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202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7948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B8E5C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0,0%</w:t>
            </w:r>
          </w:p>
        </w:tc>
      </w:tr>
      <w:tr w:rsidR="00982175" w14:paraId="45FC93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6339D" w14:textId="77777777" w:rsidR="00982175" w:rsidRDefault="00000000">
            <w:r>
              <w:rPr>
                <w:sz w:val="19"/>
                <w:szCs w:val="19"/>
              </w:rPr>
              <w:t>FLU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6F3CA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168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3597C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C05E" w14:textId="77777777" w:rsidR="00982175" w:rsidRDefault="00000000">
            <w:pPr>
              <w:jc w:val="center"/>
            </w:pPr>
            <w:r>
              <w:rPr>
                <w:sz w:val="19"/>
                <w:szCs w:val="19"/>
              </w:rPr>
              <w:t>8,3%</w:t>
            </w:r>
          </w:p>
        </w:tc>
      </w:tr>
    </w:tbl>
    <w:p w14:paraId="05A8803F" w14:textId="77777777" w:rsidR="00982175" w:rsidRDefault="00982175">
      <w:pPr>
        <w:spacing w:after="160" w:line="276" w:lineRule="auto"/>
      </w:pPr>
    </w:p>
    <w:p w14:paraId="2C4CAD81" w14:textId="7A830A37" w:rsidR="00982175" w:rsidRDefault="00000000">
      <w:pPr>
        <w:spacing w:after="160" w:line="276" w:lineRule="auto"/>
      </w:pPr>
      <w:r>
        <w:t>Os outliers concentram-se fortemente no Balanço Patrimonial (BAL). Já o DRE, mais homogêneo em magnitude, não apresentou outliers.</w:t>
      </w:r>
    </w:p>
    <w:p w14:paraId="14A905AF" w14:textId="36F95C57" w:rsidR="00982175" w:rsidRPr="00157FA7" w:rsidRDefault="005E06F8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t>5</w:t>
      </w:r>
      <w:r w:rsidR="00000000" w:rsidRPr="00157FA7">
        <w:rPr>
          <w:b/>
          <w:bCs/>
          <w:color w:val="E97132" w:themeColor="accent2"/>
          <w:sz w:val="30"/>
          <w:szCs w:val="30"/>
        </w:rPr>
        <w:t>. Representações Gráficas</w:t>
      </w:r>
    </w:p>
    <w:p w14:paraId="334BB98E" w14:textId="32D28FBE" w:rsidR="00982175" w:rsidRPr="00157FA7" w:rsidRDefault="005E06F8">
      <w:pPr>
        <w:pStyle w:val="Ttulo2"/>
        <w:spacing w:before="260" w:after="120"/>
        <w:rPr>
          <w:color w:val="E97132" w:themeColor="accent2"/>
        </w:rPr>
      </w:pPr>
      <w:r>
        <w:rPr>
          <w:b/>
          <w:bCs/>
          <w:color w:val="E97132" w:themeColor="accent2"/>
          <w:sz w:val="24"/>
          <w:szCs w:val="24"/>
        </w:rPr>
        <w:t>5</w:t>
      </w:r>
      <w:r w:rsidR="00000000" w:rsidRPr="00157FA7">
        <w:rPr>
          <w:b/>
          <w:bCs/>
          <w:color w:val="E97132" w:themeColor="accent2"/>
          <w:sz w:val="24"/>
          <w:szCs w:val="24"/>
        </w:rPr>
        <w:t>.1 Histograma Geral</w:t>
      </w:r>
    </w:p>
    <w:p w14:paraId="7B1A5227" w14:textId="77777777" w:rsidR="00982175" w:rsidRDefault="00000000">
      <w:pPr>
        <w:spacing w:after="160" w:line="276" w:lineRule="auto"/>
      </w:pPr>
      <w:r>
        <w:t>O histograma abaixo mostra a distribuição do valor (R$ milhões) para todos os registros da base, com a média e a mediana destacadas.</w:t>
      </w:r>
    </w:p>
    <w:p w14:paraId="4A1DA571" w14:textId="6FB82DE6" w:rsidR="00157FA7" w:rsidRDefault="00000000" w:rsidP="00157FA7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54AEF0A" wp14:editId="36CEE8EF">
            <wp:extent cx="4933950" cy="296037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946D" w14:textId="77777777" w:rsidR="00157FA7" w:rsidRDefault="00157FA7" w:rsidP="00157FA7">
      <w:pPr>
        <w:spacing w:before="120" w:after="80"/>
        <w:jc w:val="center"/>
      </w:pPr>
    </w:p>
    <w:p w14:paraId="094862F9" w14:textId="77777777" w:rsidR="00157FA7" w:rsidRDefault="00157FA7" w:rsidP="00157FA7">
      <w:pPr>
        <w:spacing w:before="120" w:after="80"/>
        <w:jc w:val="center"/>
      </w:pPr>
    </w:p>
    <w:p w14:paraId="3F841C70" w14:textId="77777777" w:rsidR="00157FA7" w:rsidRPr="00157FA7" w:rsidRDefault="00157FA7" w:rsidP="00157FA7">
      <w:pPr>
        <w:spacing w:before="120" w:after="80"/>
        <w:jc w:val="center"/>
      </w:pPr>
    </w:p>
    <w:p w14:paraId="6D12180A" w14:textId="197EB573" w:rsidR="00982175" w:rsidRPr="00157FA7" w:rsidRDefault="005E06F8">
      <w:pPr>
        <w:pStyle w:val="Ttulo2"/>
        <w:spacing w:before="260" w:after="120"/>
        <w:rPr>
          <w:color w:val="E97132" w:themeColor="accent2"/>
        </w:rPr>
      </w:pPr>
      <w:r>
        <w:rPr>
          <w:b/>
          <w:bCs/>
          <w:color w:val="E97132" w:themeColor="accent2"/>
          <w:sz w:val="24"/>
          <w:szCs w:val="24"/>
        </w:rPr>
        <w:t>5</w:t>
      </w:r>
      <w:r w:rsidR="00000000" w:rsidRPr="00157FA7">
        <w:rPr>
          <w:b/>
          <w:bCs/>
          <w:color w:val="E97132" w:themeColor="accent2"/>
          <w:sz w:val="24"/>
          <w:szCs w:val="24"/>
        </w:rPr>
        <w:t>.2 Histogramas por Demonstrativo</w:t>
      </w:r>
    </w:p>
    <w:p w14:paraId="6A312E8B" w14:textId="77777777" w:rsidR="00982175" w:rsidRDefault="00000000">
      <w:pPr>
        <w:spacing w:after="160" w:line="276" w:lineRule="auto"/>
      </w:pPr>
      <w:r>
        <w:t>A segmentação por demonstrativo evidencia perfis de distribuição distintos: o BAL concentra a maior parte de sua massa próxima de zero, com caudas longas nos dois extremos; o DRE apresenta uma distribuição mais deslocada para valores positivos; e o FLU mostra uma distribuição mais compacta, com leve assimetria.</w:t>
      </w:r>
    </w:p>
    <w:p w14:paraId="7BD36E86" w14:textId="77777777" w:rsidR="00982175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B585531" wp14:editId="76C90394">
            <wp:extent cx="5524500" cy="18383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13AD" w14:textId="04F4781A" w:rsidR="00982175" w:rsidRPr="00157FA7" w:rsidRDefault="005E06F8">
      <w:pPr>
        <w:pStyle w:val="Ttulo2"/>
        <w:spacing w:before="260" w:after="120"/>
        <w:rPr>
          <w:color w:val="E97132" w:themeColor="accent2"/>
        </w:rPr>
      </w:pPr>
      <w:r>
        <w:rPr>
          <w:b/>
          <w:bCs/>
          <w:color w:val="E97132" w:themeColor="accent2"/>
          <w:sz w:val="24"/>
          <w:szCs w:val="24"/>
        </w:rPr>
        <w:t>5</w:t>
      </w:r>
      <w:r w:rsidR="00000000" w:rsidRPr="00157FA7">
        <w:rPr>
          <w:b/>
          <w:bCs/>
          <w:color w:val="E97132" w:themeColor="accent2"/>
          <w:sz w:val="24"/>
          <w:szCs w:val="24"/>
        </w:rPr>
        <w:t xml:space="preserve">.3 </w:t>
      </w:r>
      <w:proofErr w:type="spellStart"/>
      <w:r w:rsidR="00000000" w:rsidRPr="00157FA7">
        <w:rPr>
          <w:b/>
          <w:bCs/>
          <w:color w:val="E97132" w:themeColor="accent2"/>
          <w:sz w:val="24"/>
          <w:szCs w:val="24"/>
        </w:rPr>
        <w:t>Boxplot</w:t>
      </w:r>
      <w:proofErr w:type="spellEnd"/>
      <w:r w:rsidR="00000000" w:rsidRPr="00157FA7">
        <w:rPr>
          <w:b/>
          <w:bCs/>
          <w:color w:val="E97132" w:themeColor="accent2"/>
          <w:sz w:val="24"/>
          <w:szCs w:val="24"/>
        </w:rPr>
        <w:t xml:space="preserve"> Geral</w:t>
      </w:r>
    </w:p>
    <w:p w14:paraId="6323BCAC" w14:textId="1DFE58B0" w:rsidR="00982175" w:rsidRDefault="00000000">
      <w:pPr>
        <w:spacing w:after="160" w:line="276" w:lineRule="auto"/>
      </w:pPr>
      <w:r>
        <w:t xml:space="preserve">O </w:t>
      </w:r>
      <w:proofErr w:type="spellStart"/>
      <w:r>
        <w:t>boxplot</w:t>
      </w:r>
      <w:proofErr w:type="spellEnd"/>
      <w:r>
        <w:t xml:space="preserve"> geral evidencia a alta concentração de valores próximos de zero e a presença de diversos pontos além dos limites</w:t>
      </w:r>
      <w:r w:rsidR="005E06F8">
        <w:t xml:space="preserve">, </w:t>
      </w:r>
      <w:r>
        <w:t>coerente com a assimetria positiva observada.</w:t>
      </w:r>
    </w:p>
    <w:p w14:paraId="6D09F0BE" w14:textId="574AE821" w:rsidR="00982175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89B293F" wp14:editId="138A1FB2">
            <wp:extent cx="3810000" cy="3429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8AB" w14:textId="51D8624F" w:rsidR="00982175" w:rsidRPr="00157FA7" w:rsidRDefault="005E06F8">
      <w:pPr>
        <w:pStyle w:val="Ttulo2"/>
        <w:spacing w:before="260" w:after="120"/>
        <w:rPr>
          <w:color w:val="E97132" w:themeColor="accent2"/>
        </w:rPr>
      </w:pPr>
      <w:r>
        <w:rPr>
          <w:b/>
          <w:bCs/>
          <w:color w:val="E97132" w:themeColor="accent2"/>
          <w:sz w:val="24"/>
          <w:szCs w:val="24"/>
        </w:rPr>
        <w:t>5</w:t>
      </w:r>
      <w:r w:rsidR="00000000" w:rsidRPr="00157FA7">
        <w:rPr>
          <w:b/>
          <w:bCs/>
          <w:color w:val="E97132" w:themeColor="accent2"/>
          <w:sz w:val="24"/>
          <w:szCs w:val="24"/>
        </w:rPr>
        <w:t xml:space="preserve">.4 </w:t>
      </w:r>
      <w:proofErr w:type="spellStart"/>
      <w:r w:rsidR="00000000" w:rsidRPr="00157FA7">
        <w:rPr>
          <w:b/>
          <w:bCs/>
          <w:color w:val="E97132" w:themeColor="accent2"/>
          <w:sz w:val="24"/>
          <w:szCs w:val="24"/>
        </w:rPr>
        <w:t>Boxplot</w:t>
      </w:r>
      <w:proofErr w:type="spellEnd"/>
      <w:r w:rsidR="00000000" w:rsidRPr="00157FA7">
        <w:rPr>
          <w:b/>
          <w:bCs/>
          <w:color w:val="E97132" w:themeColor="accent2"/>
          <w:sz w:val="24"/>
          <w:szCs w:val="24"/>
        </w:rPr>
        <w:t xml:space="preserve"> por Demonstrativo</w:t>
      </w:r>
    </w:p>
    <w:p w14:paraId="27020D0F" w14:textId="77777777" w:rsidR="00982175" w:rsidRDefault="00000000">
      <w:pPr>
        <w:spacing w:after="160" w:line="276" w:lineRule="auto"/>
      </w:pPr>
      <w:r>
        <w:t>Comparando os três demonstrativos lado a lado, fica clara a maior dispersão e o maior número de outliers do BAL frente a DRE e FLU, além da mediana ligeiramente positiva do DRE em contraste com a mediana negativa do FLU.</w:t>
      </w:r>
    </w:p>
    <w:p w14:paraId="36AFEEFC" w14:textId="194C762E" w:rsidR="00157FA7" w:rsidRPr="005E06F8" w:rsidRDefault="00000000" w:rsidP="005E06F8">
      <w:pPr>
        <w:spacing w:before="120" w:after="80"/>
        <w:jc w:val="center"/>
      </w:pPr>
      <w:r>
        <w:rPr>
          <w:noProof/>
        </w:rPr>
        <w:drawing>
          <wp:inline distT="0" distB="0" distL="0" distR="0" wp14:anchorId="34EE9FEB" wp14:editId="4179D350">
            <wp:extent cx="5238750" cy="33718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ACD6" w14:textId="3D6D0DD5" w:rsidR="00982175" w:rsidRPr="00157FA7" w:rsidRDefault="005E06F8">
      <w:pPr>
        <w:pStyle w:val="Ttulo2"/>
        <w:spacing w:before="260" w:after="120"/>
        <w:rPr>
          <w:color w:val="E97132" w:themeColor="accent2"/>
        </w:rPr>
      </w:pPr>
      <w:r>
        <w:rPr>
          <w:b/>
          <w:bCs/>
          <w:color w:val="E97132" w:themeColor="accent2"/>
          <w:sz w:val="24"/>
          <w:szCs w:val="24"/>
        </w:rPr>
        <w:br/>
      </w:r>
      <w:r>
        <w:rPr>
          <w:b/>
          <w:bCs/>
          <w:color w:val="E97132" w:themeColor="accent2"/>
          <w:sz w:val="24"/>
          <w:szCs w:val="24"/>
        </w:rPr>
        <w:br/>
      </w:r>
      <w:r>
        <w:rPr>
          <w:b/>
          <w:bCs/>
          <w:color w:val="E97132" w:themeColor="accent2"/>
          <w:sz w:val="24"/>
          <w:szCs w:val="24"/>
        </w:rPr>
        <w:br/>
      </w:r>
      <w:r>
        <w:rPr>
          <w:b/>
          <w:bCs/>
          <w:color w:val="E97132" w:themeColor="accent2"/>
          <w:sz w:val="24"/>
          <w:szCs w:val="24"/>
        </w:rPr>
        <w:lastRenderedPageBreak/>
        <w:br/>
        <w:t>5</w:t>
      </w:r>
      <w:r w:rsidR="00000000" w:rsidRPr="00157FA7">
        <w:rPr>
          <w:b/>
          <w:bCs/>
          <w:color w:val="E97132" w:themeColor="accent2"/>
          <w:sz w:val="24"/>
          <w:szCs w:val="24"/>
        </w:rPr>
        <w:t xml:space="preserve">.5 </w:t>
      </w:r>
      <w:proofErr w:type="spellStart"/>
      <w:r w:rsidR="00000000" w:rsidRPr="00157FA7">
        <w:rPr>
          <w:b/>
          <w:bCs/>
          <w:color w:val="E97132" w:themeColor="accent2"/>
          <w:sz w:val="24"/>
          <w:szCs w:val="24"/>
        </w:rPr>
        <w:t>Boxplot</w:t>
      </w:r>
      <w:proofErr w:type="spellEnd"/>
      <w:r w:rsidR="00000000" w:rsidRPr="00157FA7">
        <w:rPr>
          <w:b/>
          <w:bCs/>
          <w:color w:val="E97132" w:themeColor="accent2"/>
          <w:sz w:val="24"/>
          <w:szCs w:val="24"/>
        </w:rPr>
        <w:t xml:space="preserve"> das Contas com Maior Variância entre Cenários</w:t>
      </w:r>
    </w:p>
    <w:p w14:paraId="65314AA8" w14:textId="77777777" w:rsidR="00982175" w:rsidRDefault="00000000">
      <w:pPr>
        <w:spacing w:after="160" w:line="276" w:lineRule="auto"/>
      </w:pPr>
      <w:r>
        <w:t>Por fim, o gráfico a seguir destaca as oito contas com maior variância entre os 15 cenários simulados — os principais direcionadores de incerteza do modelo financeiro: Receita (DRE e FLU), EBITDA, Resultado Operacional, Resultado Antes do Imposto de Renda, Total do Ativo/Passivo e Despesas Financeiras.</w:t>
      </w:r>
    </w:p>
    <w:p w14:paraId="7A0A2511" w14:textId="01633385" w:rsidR="00157FA7" w:rsidRPr="005E06F8" w:rsidRDefault="00000000" w:rsidP="005E06F8">
      <w:pPr>
        <w:spacing w:before="120" w:after="80"/>
        <w:jc w:val="center"/>
      </w:pPr>
      <w:r>
        <w:rPr>
          <w:noProof/>
        </w:rPr>
        <w:drawing>
          <wp:inline distT="0" distB="0" distL="0" distR="0" wp14:anchorId="79AC6ED6" wp14:editId="67251295">
            <wp:extent cx="5524500" cy="33718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BB3E" w14:textId="50209EC8" w:rsidR="00982175" w:rsidRPr="00157FA7" w:rsidRDefault="005E06F8">
      <w:pPr>
        <w:pStyle w:val="Ttulo1"/>
        <w:spacing w:before="360" w:after="160"/>
        <w:rPr>
          <w:color w:val="E97132" w:themeColor="accent2"/>
        </w:rPr>
      </w:pPr>
      <w:r>
        <w:rPr>
          <w:b/>
          <w:bCs/>
          <w:color w:val="E97132" w:themeColor="accent2"/>
          <w:sz w:val="30"/>
          <w:szCs w:val="30"/>
        </w:rPr>
        <w:t>6</w:t>
      </w:r>
      <w:r w:rsidR="00000000" w:rsidRPr="00157FA7">
        <w:rPr>
          <w:b/>
          <w:bCs/>
          <w:color w:val="E97132" w:themeColor="accent2"/>
          <w:sz w:val="30"/>
          <w:szCs w:val="30"/>
        </w:rPr>
        <w:t>. Conclusões</w:t>
      </w:r>
    </w:p>
    <w:p w14:paraId="54F215E9" w14:textId="1F27C0D7" w:rsidR="0098217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A base reúne grandezas contábeis muito </w:t>
      </w:r>
      <w:r w:rsidR="005E06F8">
        <w:t>diferentes</w:t>
      </w:r>
      <w:r>
        <w:t xml:space="preserve">, tornando as estatísticas </w:t>
      </w:r>
      <w:r w:rsidR="005E06F8">
        <w:t>divididas</w:t>
      </w:r>
      <w:r>
        <w:t xml:space="preserve"> por demonstrativo mais informativas do que as estatísticas gerais.</w:t>
      </w:r>
    </w:p>
    <w:p w14:paraId="663F640F" w14:textId="379904DD" w:rsidR="00982175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Há assimetria positiva (média &gt; mediana) na maioria dos recortes, indicando a presença de valores </w:t>
      </w:r>
      <w:r w:rsidR="005E06F8">
        <w:t>maiores</w:t>
      </w:r>
      <w:r>
        <w:t xml:space="preserve"> que puxam a distribuição para a direita.</w:t>
      </w:r>
    </w:p>
    <w:p w14:paraId="5FD1EB4F" w14:textId="77777777" w:rsidR="00982175" w:rsidRDefault="00000000">
      <w:pPr>
        <w:pStyle w:val="PargrafodaLista"/>
        <w:numPr>
          <w:ilvl w:val="0"/>
          <w:numId w:val="1"/>
        </w:numPr>
        <w:spacing w:after="80"/>
      </w:pPr>
      <w:r>
        <w:t>191 registros (19,1% da base) foram identificados como outliers pelo critério de 1,5×IQR, concentrados quase totalmente nas contas de Balanço Patrimonial.</w:t>
      </w:r>
    </w:p>
    <w:p w14:paraId="2B7B10EC" w14:textId="6E60C6C6" w:rsidR="00982175" w:rsidRDefault="00982175">
      <w:pPr>
        <w:spacing w:after="160" w:line="276" w:lineRule="auto"/>
      </w:pPr>
    </w:p>
    <w:sectPr w:rsidR="0098217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452F0" w14:textId="77777777" w:rsidR="00020ABA" w:rsidRDefault="00020ABA">
      <w:r>
        <w:separator/>
      </w:r>
    </w:p>
  </w:endnote>
  <w:endnote w:type="continuationSeparator" w:id="0">
    <w:p w14:paraId="00ECD931" w14:textId="77777777" w:rsidR="00020ABA" w:rsidRDefault="00020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817BD" w14:textId="7F31783C" w:rsidR="00157FA7" w:rsidRPr="00157FA7" w:rsidRDefault="00157FA7" w:rsidP="00157FA7">
    <w:pPr>
      <w:jc w:val="center"/>
      <w:rPr>
        <w:color w:val="6E8898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09B99" w14:textId="77777777" w:rsidR="00020ABA" w:rsidRDefault="00020ABA">
      <w:r>
        <w:separator/>
      </w:r>
    </w:p>
  </w:footnote>
  <w:footnote w:type="continuationSeparator" w:id="0">
    <w:p w14:paraId="50DA231E" w14:textId="77777777" w:rsidR="00020ABA" w:rsidRDefault="00020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07194" w14:textId="17E1F790" w:rsidR="00982175" w:rsidRPr="00157FA7" w:rsidRDefault="00982175" w:rsidP="00157FA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96C5B"/>
    <w:multiLevelType w:val="hybridMultilevel"/>
    <w:tmpl w:val="680E6DF6"/>
    <w:lvl w:ilvl="0" w:tplc="F5A20AE0">
      <w:start w:val="1"/>
      <w:numFmt w:val="bullet"/>
      <w:lvlText w:val="●"/>
      <w:lvlJc w:val="left"/>
      <w:pPr>
        <w:ind w:left="720" w:hanging="360"/>
      </w:pPr>
    </w:lvl>
    <w:lvl w:ilvl="1" w:tplc="99282C5E">
      <w:start w:val="1"/>
      <w:numFmt w:val="bullet"/>
      <w:lvlText w:val="○"/>
      <w:lvlJc w:val="left"/>
      <w:pPr>
        <w:ind w:left="1440" w:hanging="360"/>
      </w:pPr>
    </w:lvl>
    <w:lvl w:ilvl="2" w:tplc="6658CEBE">
      <w:start w:val="1"/>
      <w:numFmt w:val="bullet"/>
      <w:lvlText w:val="■"/>
      <w:lvlJc w:val="left"/>
      <w:pPr>
        <w:ind w:left="2160" w:hanging="360"/>
      </w:pPr>
    </w:lvl>
    <w:lvl w:ilvl="3" w:tplc="FB323DCC">
      <w:start w:val="1"/>
      <w:numFmt w:val="bullet"/>
      <w:lvlText w:val="●"/>
      <w:lvlJc w:val="left"/>
      <w:pPr>
        <w:ind w:left="2880" w:hanging="360"/>
      </w:pPr>
    </w:lvl>
    <w:lvl w:ilvl="4" w:tplc="331C4928">
      <w:start w:val="1"/>
      <w:numFmt w:val="bullet"/>
      <w:lvlText w:val="○"/>
      <w:lvlJc w:val="left"/>
      <w:pPr>
        <w:ind w:left="3600" w:hanging="360"/>
      </w:pPr>
    </w:lvl>
    <w:lvl w:ilvl="5" w:tplc="F8904202">
      <w:start w:val="1"/>
      <w:numFmt w:val="bullet"/>
      <w:lvlText w:val="■"/>
      <w:lvlJc w:val="left"/>
      <w:pPr>
        <w:ind w:left="4320" w:hanging="360"/>
      </w:pPr>
    </w:lvl>
    <w:lvl w:ilvl="6" w:tplc="95625F70">
      <w:start w:val="1"/>
      <w:numFmt w:val="bullet"/>
      <w:lvlText w:val="●"/>
      <w:lvlJc w:val="left"/>
      <w:pPr>
        <w:ind w:left="5040" w:hanging="360"/>
      </w:pPr>
    </w:lvl>
    <w:lvl w:ilvl="7" w:tplc="E68AEE3E">
      <w:start w:val="1"/>
      <w:numFmt w:val="bullet"/>
      <w:lvlText w:val="●"/>
      <w:lvlJc w:val="left"/>
      <w:pPr>
        <w:ind w:left="5760" w:hanging="360"/>
      </w:pPr>
    </w:lvl>
    <w:lvl w:ilvl="8" w:tplc="74403952">
      <w:start w:val="1"/>
      <w:numFmt w:val="bullet"/>
      <w:lvlText w:val="●"/>
      <w:lvlJc w:val="left"/>
      <w:pPr>
        <w:ind w:left="6480" w:hanging="360"/>
      </w:pPr>
    </w:lvl>
  </w:abstractNum>
  <w:num w:numId="1" w16cid:durableId="775372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175"/>
    <w:rsid w:val="00020ABA"/>
    <w:rsid w:val="00157FA7"/>
    <w:rsid w:val="005E06F8"/>
    <w:rsid w:val="007E79C5"/>
    <w:rsid w:val="009142C0"/>
    <w:rsid w:val="0098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23D1F"/>
  <w15:docId w15:val="{8C7A3212-59BC-4B34-8106-99DE87F0A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B2B2B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57FA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FA7"/>
  </w:style>
  <w:style w:type="paragraph" w:styleId="Rodap">
    <w:name w:val="footer"/>
    <w:basedOn w:val="Normal"/>
    <w:link w:val="RodapChar"/>
    <w:uiPriority w:val="99"/>
    <w:unhideWhenUsed/>
    <w:rsid w:val="00157FA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705</Words>
  <Characters>3807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Antonio Santos Silva</cp:lastModifiedBy>
  <cp:revision>2</cp:revision>
  <dcterms:created xsi:type="dcterms:W3CDTF">2026-09-22T00:31:00Z</dcterms:created>
  <dcterms:modified xsi:type="dcterms:W3CDTF">2026-09-25T00:46:00Z</dcterms:modified>
</cp:coreProperties>
</file>