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802" w:rsidRDefault="00136D3B">
      <w:pPr>
        <w:spacing w:after="100"/>
      </w:pPr>
      <w:r>
        <w:rPr>
          <w:b/>
          <w:bCs/>
          <w:color w:val="00A868"/>
          <w:sz w:val="22"/>
          <w:szCs w:val="22"/>
        </w:rPr>
        <w:t>PROJETO INTERDISCIPLINAR · ASA</w:t>
      </w:r>
    </w:p>
    <w:p w:rsidR="00367802" w:rsidRDefault="00136D3B">
      <w:pPr>
        <w:spacing w:after="100"/>
      </w:pPr>
      <w:r>
        <w:rPr>
          <w:b/>
          <w:bCs/>
          <w:color w:val="0B2E22"/>
          <w:sz w:val="44"/>
          <w:szCs w:val="44"/>
        </w:rPr>
        <w:t xml:space="preserve">Relatório Técnico e </w:t>
      </w:r>
      <w:proofErr w:type="spellStart"/>
      <w:r>
        <w:rPr>
          <w:b/>
          <w:bCs/>
          <w:color w:val="0B2E22"/>
          <w:sz w:val="44"/>
          <w:szCs w:val="44"/>
        </w:rPr>
        <w:t>Model</w:t>
      </w:r>
      <w:proofErr w:type="spellEnd"/>
      <w:r>
        <w:rPr>
          <w:b/>
          <w:bCs/>
          <w:color w:val="0B2E22"/>
          <w:sz w:val="44"/>
          <w:szCs w:val="44"/>
        </w:rPr>
        <w:t xml:space="preserve"> </w:t>
      </w:r>
      <w:proofErr w:type="spellStart"/>
      <w:r>
        <w:rPr>
          <w:b/>
          <w:bCs/>
          <w:color w:val="0B2E22"/>
          <w:sz w:val="44"/>
          <w:szCs w:val="44"/>
        </w:rPr>
        <w:t>Card</w:t>
      </w:r>
      <w:proofErr w:type="spellEnd"/>
    </w:p>
    <w:p w:rsidR="00367802" w:rsidRDefault="00136D3B">
      <w:pPr>
        <w:spacing w:after="400"/>
      </w:pPr>
      <w:r>
        <w:rPr>
          <w:color w:val="595959"/>
          <w:sz w:val="24"/>
          <w:szCs w:val="24"/>
        </w:rPr>
        <w:t>Entrega 1 — Parcial · Agente de Monitoramento de Estudantes ou Agente de Pendências</w:t>
      </w:r>
    </w:p>
    <w:p w:rsidR="00367802" w:rsidRDefault="00136D3B">
      <w:pPr>
        <w:spacing w:after="200"/>
      </w:pPr>
      <w:r>
        <w:rPr>
          <w:color w:val="1A1A1A"/>
          <w:sz w:val="22"/>
          <w:szCs w:val="22"/>
        </w:rPr>
        <w:t xml:space="preserve">Este relatório documenta a construção de uma baseline (primeira versão simples do modelo) coerente com o </w:t>
      </w:r>
      <w:r>
        <w:rPr>
          <w:color w:val="1A1A1A"/>
          <w:sz w:val="22"/>
          <w:szCs w:val="22"/>
        </w:rPr>
        <w:t>agente escolhido, seguindo os requisitos da Entrega 1 do Projeto Interdisciplinar.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1. Análise dos Dados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Descrevam as bases de dados utilizadas: quais arquivos, quantos registros, o que cada um contém, e qual a granularidade (1 linha por aluno? por evento?)</w:t>
      </w:r>
      <w:r>
        <w:rPr>
          <w:i/>
          <w:iCs/>
          <w:color w:val="595959"/>
          <w:sz w:val="21"/>
          <w:szCs w:val="21"/>
        </w:rPr>
        <w:t>. Use o catálogo de fontes que já discutiram em aula como ponto de partida.</w:t>
      </w:r>
    </w:p>
    <w:tbl>
      <w:tblPr>
        <w:tblW w:w="9000" w:type="dxa"/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2500"/>
        <w:gridCol w:w="2500"/>
      </w:tblGrid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Fonte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Registros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Conteúdo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Observações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base_unificada_asa-final.csv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12.842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Base final consolidada: 1 linha por aluno, 24 colunas, cobrindo contexto, matrícula, financeiro, histórico</w:t>
            </w:r>
            <w:r>
              <w:t xml:space="preserve"> acadêmico e relacionamento, mais o rótulo evadiu.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Única base efetivamente recebida nesta entrega; usada para treino/avaliação da baseline.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Guia ASA — Matrículas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incluído na base unificada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Período letivo, forma de ingresso, curso, grau acadêmico, turno, período de ingresso e status acadêmico.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 xml:space="preserve">Status acadêmico é a origem do rótulo e não é usado como </w:t>
            </w:r>
            <w:proofErr w:type="spellStart"/>
            <w:r>
              <w:t>feature</w:t>
            </w:r>
            <w:proofErr w:type="spellEnd"/>
            <w:r>
              <w:t>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Guia ASA — Contato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incluído na base unificada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 xml:space="preserve">Idade, bairro, cidade, estado, estado </w:t>
            </w:r>
            <w:r>
              <w:t>civil e sexo (uma linha por aluno; ID_ALUNO é a chave de integração).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Atributos demográficos/contexto agregados por aluno.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Guia ASA — Financeiro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incluído na base unificada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 xml:space="preserve">Percentual de parcelas em aberto, percentual em acordo, atraso médio, indicação de </w:t>
            </w:r>
            <w:r>
              <w:t>bolsa e valor total do período.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Dimensão com o atributo de maior importância preditiva (</w:t>
            </w:r>
            <w:proofErr w:type="spellStart"/>
            <w:r>
              <w:t>valor_total_periodo</w:t>
            </w:r>
            <w:proofErr w:type="spellEnd"/>
            <w:r>
              <w:t>).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Guia ASA — Histórico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incluído na base unificada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Média de notas, média de assiduidade, percentual de reprovação, tendências de notas/assiduidade e</w:t>
            </w:r>
            <w:r>
              <w:t xml:space="preserve"> total de semestres.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Agregado por aluno; não inclui dados de eventos individuais.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Guia ASA — Relacionamentos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incluído na base unificada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Total de contatos e dias desde o último contato.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Motivo da Evasão e sinais explícitos de risco foram excluídos por causarem vazamento do rótulo.</w:t>
            </w:r>
          </w:p>
        </w:tc>
      </w:tr>
    </w:tbl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2. Preparação dos Dados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Descrevam os problemas de qualidade encontrados nos dados (valores nulos, formatos inconsistentes, duplicidade) e como cada um foi trat</w:t>
      </w:r>
      <w:r>
        <w:rPr>
          <w:i/>
          <w:iCs/>
          <w:color w:val="595959"/>
          <w:sz w:val="21"/>
          <w:szCs w:val="21"/>
        </w:rPr>
        <w:t>ado. Documentem também como as tabelas foram unificadas (chave de junção, tipo de agregação usada).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Para chegar à base_unificada_asa-final.csv (12.842 registros, 24 colunas), foram tratados os seguintes pontos de qualidade e integração: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Valores nulos: at</w:t>
      </w:r>
      <w:r>
        <w:t>ributos numéricos foram imputados pela mediana; atributos categóricos, pela moda (</w:t>
      </w:r>
      <w:proofErr w:type="spellStart"/>
      <w:r>
        <w:t>SimpleImputer</w:t>
      </w:r>
      <w:proofErr w:type="spellEnd"/>
      <w:r>
        <w:t>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Padronização: atributos numéricos foram padronizados (</w:t>
      </w:r>
      <w:proofErr w:type="spellStart"/>
      <w:r>
        <w:t>StandardScaler</w:t>
      </w:r>
      <w:proofErr w:type="spellEnd"/>
      <w:r>
        <w:t>) antes de entrar no modelo.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lastRenderedPageBreak/>
        <w:t>- Codificação categórica: atributos categóricos foram conve</w:t>
      </w:r>
      <w:r>
        <w:t xml:space="preserve">rtidos por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(</w:t>
      </w:r>
      <w:proofErr w:type="spellStart"/>
      <w:r>
        <w:t>OneHotEncoder</w:t>
      </w:r>
      <w:proofErr w:type="spellEnd"/>
      <w:r>
        <w:t xml:space="preserve">, </w:t>
      </w:r>
      <w:proofErr w:type="spellStart"/>
      <w:r>
        <w:t>handle_unknown</w:t>
      </w:r>
      <w:proofErr w:type="spellEnd"/>
      <w:r>
        <w:t>="ignore").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Unificação: as tabelas de origem (matrícula, financeiro, histórico e relacionamento) foram unidas pela chave ID_ALUNO, resultando em uma linha por aluno/registro consolidado.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Vazamen</w:t>
      </w:r>
      <w:r>
        <w:t xml:space="preserve">to de rótulo: ID_ALUNO não é usado como </w:t>
      </w:r>
      <w:proofErr w:type="spellStart"/>
      <w:r>
        <w:t>feature</w:t>
      </w:r>
      <w:proofErr w:type="spellEnd"/>
      <w:r>
        <w:t>; o status acadêmico que originou o rótulo evadiu também não é usado como atributo preditivo.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3. Seleção de Atributos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Listem os atributos (</w:t>
      </w:r>
      <w:proofErr w:type="spellStart"/>
      <w:r>
        <w:rPr>
          <w:i/>
          <w:iCs/>
          <w:color w:val="595959"/>
          <w:sz w:val="21"/>
          <w:szCs w:val="21"/>
        </w:rPr>
        <w:t>features</w:t>
      </w:r>
      <w:proofErr w:type="spellEnd"/>
      <w:r>
        <w:rPr>
          <w:i/>
          <w:iCs/>
          <w:color w:val="595959"/>
          <w:sz w:val="21"/>
          <w:szCs w:val="21"/>
        </w:rPr>
        <w:t xml:space="preserve">) escolhidos, organizados por dimensão, com uma justificativa </w:t>
      </w:r>
      <w:r>
        <w:rPr>
          <w:i/>
          <w:iCs/>
          <w:color w:val="595959"/>
          <w:sz w:val="21"/>
          <w:szCs w:val="21"/>
        </w:rPr>
        <w:t>breve de por que cada um é relevante para o problema.</w:t>
      </w:r>
    </w:p>
    <w:tbl>
      <w:tblPr>
        <w:tblW w:w="9000" w:type="dxa"/>
        <w:tblLayout w:type="fixed"/>
        <w:tblLook w:val="0000" w:firstRow="0" w:lastRow="0" w:firstColumn="0" w:lastColumn="0" w:noHBand="0" w:noVBand="0"/>
      </w:tblPr>
      <w:tblGrid>
        <w:gridCol w:w="2199"/>
        <w:gridCol w:w="2801"/>
        <w:gridCol w:w="4000"/>
      </w:tblGrid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Justificativa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Financeiro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valor_total_periodo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Maior importância preditiva na baseline (queda média de 0,311 no ROC-AUC ao permutar); reflete a carga financeira do aluno no período.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Financeiro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total_parcelas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Terceira maior importância (0,070); indica o volume de parcelamento associado ao vínculo financeiro.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Financeiro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pct_parcelas_em_aberto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Usado também na regra R1 (inadimplência corrente ≥ 30%); sinal direto de risco financeiro.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Acadêmico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media_notas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Segunda maior importância (0,160); resume o desempenho acadêmico consolidado do aluno.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Acadêmico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tempo_de_curso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Importância de 0,037; situa o aluno no estágio da trajetória acadêmica.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Acadêmico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total_semestres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 xml:space="preserve">Importância de 0,019; </w:t>
            </w:r>
            <w:r>
              <w:t>complementa o tempo de curso como medida de permanência.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Matrícula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Grau Acadêmico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Quarta maior importância (0,058); modalidade/nível do curso influencia o padrão de evasão.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Relacionamento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proofErr w:type="spellStart"/>
            <w:r>
              <w:t>dias_desde_ultimo_contato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 xml:space="preserve">Importância de 0,021; </w:t>
            </w:r>
            <w:proofErr w:type="spellStart"/>
            <w:r>
              <w:t>recência</w:t>
            </w:r>
            <w:proofErr w:type="spellEnd"/>
            <w:r>
              <w:t xml:space="preserve"> de contat</w:t>
            </w:r>
            <w:r>
              <w:t>o associada a engajamento com a instituição.</w:t>
            </w:r>
          </w:p>
        </w:tc>
      </w:tr>
      <w:tr w:rsidR="00367802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Contexto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Idade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t>Importância de 0,020; característica demográfica com contribuição preditiva moderada.</w:t>
            </w:r>
          </w:p>
        </w:tc>
      </w:tr>
    </w:tbl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4. Definição das Métricas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 xml:space="preserve">Indiquem quais métricas pretendem usar para avaliar o modelo nesta fase e na </w:t>
      </w:r>
      <w:r>
        <w:rPr>
          <w:i/>
          <w:iCs/>
          <w:color w:val="595959"/>
          <w:sz w:val="21"/>
          <w:szCs w:val="21"/>
        </w:rPr>
        <w:t>próxima entrega (</w:t>
      </w:r>
      <w:proofErr w:type="spellStart"/>
      <w:r>
        <w:rPr>
          <w:i/>
          <w:iCs/>
          <w:color w:val="595959"/>
          <w:sz w:val="21"/>
          <w:szCs w:val="21"/>
        </w:rPr>
        <w:t>ex</w:t>
      </w:r>
      <w:proofErr w:type="spellEnd"/>
      <w:r>
        <w:rPr>
          <w:i/>
          <w:iCs/>
          <w:color w:val="595959"/>
          <w:sz w:val="21"/>
          <w:szCs w:val="21"/>
        </w:rPr>
        <w:t>: acurácia agora; precisão/recall/F1 mais adiante). Não é necessário apresentar o resultado final aqui — só as métricas planejadas.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Como a evasão é a classe minoritária (19,6% da base), a acurácia isolada não é suficiente. As métricas es</w:t>
      </w:r>
      <w:r>
        <w:t>colhidas para esta fase e para a próxima entrega são: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ROC-AUC e PR-AUC, para avaliar a separação entre classes independentemente do limiar escolhido;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Recall da evasão, priorizado nesta baseline porque deixar de identificar um aluno em risco tem custo m</w:t>
      </w:r>
      <w:r>
        <w:t>aior do que um contato desnecessário;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</w:t>
      </w:r>
      <w:proofErr w:type="spellStart"/>
      <w:r>
        <w:t>Precision</w:t>
      </w:r>
      <w:proofErr w:type="spellEnd"/>
      <w:r>
        <w:t xml:space="preserve"> e F1 da evasão, para acompanhar o volume de falsos positivos;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Acurácia, reportada apenas como referência complementar.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Para a Entrega 2, pretendemos comparar modelos sob o mesmo protocolo e calibrar o lim</w:t>
      </w:r>
      <w:r>
        <w:t>iar de decisão com custos explícitos de falso positivo/falso negativo.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lastRenderedPageBreak/>
        <w:t>5. Baseline do Agente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Preencham SOMENTE a subseção correspondente ao agente escolhido pelo grupo. Apaguem a outra.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5a. Se Agente de Monitoramento de Estudantes</w:t>
      </w:r>
    </w:p>
    <w:p w:rsidR="00367802" w:rsidRDefault="00136D3B">
      <w:pPr>
        <w:spacing w:after="200"/>
      </w:pPr>
      <w:r>
        <w:rPr>
          <w:color w:val="1A1A1A"/>
          <w:sz w:val="22"/>
          <w:szCs w:val="22"/>
        </w:rPr>
        <w:t>Score / modelo inicial: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D</w:t>
      </w:r>
      <w:r>
        <w:rPr>
          <w:i/>
          <w:iCs/>
          <w:color w:val="595959"/>
          <w:sz w:val="21"/>
          <w:szCs w:val="21"/>
        </w:rPr>
        <w:t>escrevam como o score foi calculado (ou qual modelo foi treinado), e como a classificação Verde/Amarelo/Vermelho foi definida (limiares escolhidos).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O score é a probabilidade de evasão prevista por uma Regressão Logística (</w:t>
      </w:r>
      <w:proofErr w:type="spellStart"/>
      <w:r>
        <w:t>class_weight</w:t>
      </w:r>
      <w:proofErr w:type="spellEnd"/>
      <w:r>
        <w:t>="</w:t>
      </w:r>
      <w:proofErr w:type="spellStart"/>
      <w:r>
        <w:t>balanced</w:t>
      </w:r>
      <w:proofErr w:type="spellEnd"/>
      <w:r>
        <w:t xml:space="preserve">", </w:t>
      </w:r>
      <w:proofErr w:type="spellStart"/>
      <w:r>
        <w:t>max_iter</w:t>
      </w:r>
      <w:proofErr w:type="spellEnd"/>
      <w:r>
        <w:t xml:space="preserve">=2000) treinada sobre a base </w:t>
      </w:r>
      <w:proofErr w:type="spellStart"/>
      <w:r>
        <w:t>pré</w:t>
      </w:r>
      <w:proofErr w:type="spellEnd"/>
      <w:r>
        <w:t xml:space="preserve">-processada. Em </w:t>
      </w:r>
      <w:proofErr w:type="spellStart"/>
      <w:r>
        <w:t>holdout</w:t>
      </w:r>
      <w:proofErr w:type="spellEnd"/>
      <w:r>
        <w:t xml:space="preserve"> estratificado 80/20 (</w:t>
      </w:r>
      <w:proofErr w:type="spellStart"/>
      <w:r>
        <w:t>random_state</w:t>
      </w:r>
      <w:proofErr w:type="spellEnd"/>
      <w:r>
        <w:t xml:space="preserve">=42): ROC-AUC 0,814; PR-AUC 0,562; Recall 0,777; </w:t>
      </w:r>
      <w:proofErr w:type="spellStart"/>
      <w:r>
        <w:t>Precision</w:t>
      </w:r>
      <w:proofErr w:type="spellEnd"/>
      <w:r>
        <w:t xml:space="preserve"> 0,413; F1 0,540 (validação cruzada 5-fold: ROC-AUC médio 0,831 ± 0,010).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A classificação em faixas foi definida por corte direto na probabilidade: Verde (score &lt; 0,35), Amarelo (0,35 a &lt;0,65) e Vermelho (≥ 0,65). No conjunto de teste, a faixa Vermelho concentrou 579 casos com taxa de evasão observada de 53,0%; a faixa Amarelo, </w:t>
      </w:r>
      <w:r>
        <w:t>736 casos com 16,0%; e a faixa Verde, 1.254 casos com 6,2% — as faixas ordenam corretamente o risco, mas os limiares (0,35/0,65) ainda são provisórios e precisam de calibração com o ASA.</w:t>
      </w:r>
    </w:p>
    <w:p w:rsidR="00367802" w:rsidRDefault="00136D3B">
      <w:pPr>
        <w:spacing w:after="200"/>
      </w:pPr>
      <w:r>
        <w:rPr>
          <w:color w:val="1A1A1A"/>
          <w:sz w:val="22"/>
          <w:szCs w:val="22"/>
        </w:rPr>
        <w:t>Explicação dos fatores: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Indiquem quais variáveis mais pesaram na deci</w:t>
      </w:r>
      <w:r>
        <w:rPr>
          <w:i/>
          <w:iCs/>
          <w:color w:val="595959"/>
          <w:sz w:val="21"/>
          <w:szCs w:val="21"/>
        </w:rPr>
        <w:t>são do modelo (</w:t>
      </w:r>
      <w:proofErr w:type="spellStart"/>
      <w:r>
        <w:rPr>
          <w:i/>
          <w:iCs/>
          <w:color w:val="595959"/>
          <w:sz w:val="21"/>
          <w:szCs w:val="21"/>
        </w:rPr>
        <w:t>ex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feature_importances</w:t>
      </w:r>
      <w:proofErr w:type="spellEnd"/>
      <w:r>
        <w:rPr>
          <w:i/>
          <w:iCs/>
          <w:color w:val="595959"/>
          <w:sz w:val="21"/>
          <w:szCs w:val="21"/>
        </w:rPr>
        <w:t>_ da Árvore/</w:t>
      </w:r>
      <w:proofErr w:type="spellStart"/>
      <w:r>
        <w:rPr>
          <w:i/>
          <w:iCs/>
          <w:color w:val="595959"/>
          <w:sz w:val="21"/>
          <w:szCs w:val="21"/>
        </w:rPr>
        <w:t>Random</w:t>
      </w:r>
      <w:proofErr w:type="spellEnd"/>
      <w:r>
        <w:rPr>
          <w:i/>
          <w:iCs/>
          <w:color w:val="595959"/>
          <w:sz w:val="21"/>
          <w:szCs w:val="21"/>
        </w:rPr>
        <w:t xml:space="preserve"> Forest, ou coeficientes da Regressão Logística), com uma breve interpretação.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A explicação global foi feita por importância de permutação (queda média no ROC-AUC ao embaralhar cada atributo, 5 repeti</w:t>
      </w:r>
      <w:r>
        <w:t>ções). Os fatores mais relevantes nesta execução foram: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</w:t>
      </w:r>
      <w:proofErr w:type="spellStart"/>
      <w:proofErr w:type="gramStart"/>
      <w:r>
        <w:t>valor</w:t>
      </w:r>
      <w:proofErr w:type="gramEnd"/>
      <w:r>
        <w:t>_total_periodo</w:t>
      </w:r>
      <w:proofErr w:type="spellEnd"/>
      <w:r>
        <w:t xml:space="preserve"> — importância 0,311 (o mais relevante, dimensão financeira);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</w:t>
      </w:r>
      <w:proofErr w:type="spellStart"/>
      <w:proofErr w:type="gramStart"/>
      <w:r>
        <w:t>media</w:t>
      </w:r>
      <w:proofErr w:type="gramEnd"/>
      <w:r>
        <w:t>_notas</w:t>
      </w:r>
      <w:proofErr w:type="spellEnd"/>
      <w:r>
        <w:t xml:space="preserve"> — importância 0,160 (dimensão acadêmica);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</w:t>
      </w:r>
      <w:proofErr w:type="spellStart"/>
      <w:proofErr w:type="gramStart"/>
      <w:r>
        <w:t>total</w:t>
      </w:r>
      <w:proofErr w:type="gramEnd"/>
      <w:r>
        <w:t>_parcelas</w:t>
      </w:r>
      <w:proofErr w:type="spellEnd"/>
      <w:r>
        <w:t xml:space="preserve"> — importância 0,070 (dimensão financeira);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</w:t>
      </w:r>
      <w:r>
        <w:t xml:space="preserve"> Grau Acadêmico — importância 0,058 (dimensão de matrícula);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</w:t>
      </w:r>
      <w:proofErr w:type="spellStart"/>
      <w:proofErr w:type="gramStart"/>
      <w:r>
        <w:t>tempo</w:t>
      </w:r>
      <w:proofErr w:type="gramEnd"/>
      <w:r>
        <w:t>_de_curso</w:t>
      </w:r>
      <w:proofErr w:type="spellEnd"/>
      <w:r>
        <w:t xml:space="preserve"> — importância 0,037; </w:t>
      </w:r>
      <w:proofErr w:type="spellStart"/>
      <w:r>
        <w:t>dias_desde_ultimo_contato</w:t>
      </w:r>
      <w:proofErr w:type="spellEnd"/>
      <w:r>
        <w:t xml:space="preserve"> — importância 0,021; Idade — importância 0,020; </w:t>
      </w:r>
      <w:proofErr w:type="spellStart"/>
      <w:r>
        <w:t>total_semestres</w:t>
      </w:r>
      <w:proofErr w:type="spellEnd"/>
      <w:r>
        <w:t xml:space="preserve"> — importância 0,019.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Esses valores indicam associação preditiva com</w:t>
      </w:r>
      <w:r>
        <w:t xml:space="preserve"> o desempenho do modelo, não relação de causa e efeito.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6. Limitações Conhecidas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Como esta é uma baseline (primeira versão), é esperado que existam limitações. Descrevam as que já identificaram (</w:t>
      </w:r>
      <w:proofErr w:type="spellStart"/>
      <w:r>
        <w:rPr>
          <w:i/>
          <w:iCs/>
          <w:color w:val="595959"/>
          <w:sz w:val="21"/>
          <w:szCs w:val="21"/>
        </w:rPr>
        <w:t>ex</w:t>
      </w:r>
      <w:proofErr w:type="spellEnd"/>
      <w:r>
        <w:rPr>
          <w:i/>
          <w:iCs/>
          <w:color w:val="595959"/>
          <w:sz w:val="21"/>
          <w:szCs w:val="21"/>
        </w:rPr>
        <w:t xml:space="preserve">: poucos exemplos de evasão, dados incompletos para alguns </w:t>
      </w:r>
      <w:r>
        <w:rPr>
          <w:i/>
          <w:iCs/>
          <w:color w:val="595959"/>
          <w:sz w:val="21"/>
          <w:szCs w:val="21"/>
        </w:rPr>
        <w:t>alunos, casos ambíguos no rótulo).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O rótulo evadiu é uma proxy construída a partir do status acadêmico e pode conter casos ambíguos de negócio.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A base pode refletir viés histórico e cobertura desigual entre subgrupos de alunos.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O split aleatório pode</w:t>
      </w:r>
      <w:r>
        <w:t xml:space="preserve"> superestimar a generalização se houver múltiplas linhas por aluno ou dependência temporal entre registros.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Os limiares Verde/Amarelo/Vermelho (0,35/0,65) foram escolhidos por corte direto na probabilidade, sem calibração de custo.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O RAG inicial usa ap</w:t>
      </w:r>
      <w:r>
        <w:t>enas um corpus resumido (4 trechos) e uma avaliação com 4 perguntas (Hit@3 = 75%), insuficiente para produção.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lastRenderedPageBreak/>
        <w:t>7. Próximos Passos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 xml:space="preserve">Uma nota breve sobre o que pretendem melhorar/adicionar até a Entrega 2 (comparação de modelos, métricas mais completas, </w:t>
      </w:r>
      <w:proofErr w:type="spellStart"/>
      <w:r>
        <w:rPr>
          <w:i/>
          <w:iCs/>
          <w:color w:val="595959"/>
          <w:sz w:val="21"/>
          <w:szCs w:val="21"/>
        </w:rPr>
        <w:t>expli</w:t>
      </w:r>
      <w:r>
        <w:rPr>
          <w:i/>
          <w:iCs/>
          <w:color w:val="595959"/>
          <w:sz w:val="21"/>
          <w:szCs w:val="21"/>
        </w:rPr>
        <w:t>cabilidade</w:t>
      </w:r>
      <w:proofErr w:type="spellEnd"/>
      <w:r>
        <w:rPr>
          <w:i/>
          <w:iCs/>
          <w:color w:val="595959"/>
          <w:sz w:val="21"/>
          <w:szCs w:val="21"/>
        </w:rPr>
        <w:t>, etc.).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Comparar Regressão Logística, KNN, Árvore de Decisão e </w:t>
      </w:r>
      <w:proofErr w:type="spellStart"/>
      <w:r>
        <w:t>Random</w:t>
      </w:r>
      <w:proofErr w:type="spellEnd"/>
      <w:r>
        <w:t xml:space="preserve"> Forest sob o mesmo protocolo de avaliação.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Adotar split temporal quando houver referência de data confiável, aproximando o uso real.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Calibrar probabilidades e limiares (</w:t>
      </w:r>
      <w:r>
        <w:t>Verde/Amarelo/Vermelho) com custos de falso positivo/falso negativo, junto ao ASA.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Auditar desempenho por subgrupos e monitorar </w:t>
      </w:r>
      <w:proofErr w:type="spellStart"/>
      <w:r>
        <w:t>drift</w:t>
      </w:r>
      <w:proofErr w:type="spellEnd"/>
      <w:r>
        <w:t xml:space="preserve">, distribuição do score e taxa de </w:t>
      </w:r>
      <w:proofErr w:type="spellStart"/>
      <w:r>
        <w:t>overrides</w:t>
      </w:r>
      <w:proofErr w:type="spellEnd"/>
      <w:r>
        <w:t xml:space="preserve"> humanos.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 xml:space="preserve">- Expandir o RAG com documentos oficiais completos, versionamento, </w:t>
      </w:r>
      <w:proofErr w:type="spellStart"/>
      <w:r>
        <w:t>chunking</w:t>
      </w:r>
      <w:proofErr w:type="spellEnd"/>
      <w:r>
        <w:t xml:space="preserve"> consistente, </w:t>
      </w:r>
      <w:proofErr w:type="spellStart"/>
      <w:r>
        <w:t>embeddings</w:t>
      </w:r>
      <w:proofErr w:type="spellEnd"/>
      <w:r>
        <w:t>/</w:t>
      </w:r>
      <w:proofErr w:type="spellStart"/>
      <w:r>
        <w:t>reranking</w:t>
      </w:r>
      <w:proofErr w:type="spellEnd"/>
      <w:r>
        <w:t xml:space="preserve"> e um conjunto maior de perguntas de avaliação.</w:t>
      </w:r>
    </w:p>
    <w:p w:rsidR="00367802" w:rsidRDefault="00136D3B">
      <w:r>
        <w:br w:type="page"/>
      </w:r>
    </w:p>
    <w:p w:rsidR="00367802" w:rsidRDefault="00136D3B">
      <w:pPr>
        <w:pStyle w:val="Ttulo1"/>
        <w:spacing w:after="200"/>
      </w:pPr>
      <w:r>
        <w:rPr>
          <w:b/>
          <w:bCs/>
          <w:color w:val="0B2E22"/>
          <w:sz w:val="30"/>
          <w:szCs w:val="30"/>
        </w:rPr>
        <w:lastRenderedPageBreak/>
        <w:t xml:space="preserve">PARTE 2 — </w:t>
      </w:r>
      <w:proofErr w:type="spellStart"/>
      <w:r>
        <w:rPr>
          <w:b/>
          <w:bCs/>
          <w:color w:val="0B2E22"/>
          <w:sz w:val="30"/>
          <w:szCs w:val="30"/>
        </w:rPr>
        <w:t>Model</w:t>
      </w:r>
      <w:proofErr w:type="spellEnd"/>
      <w:r>
        <w:rPr>
          <w:b/>
          <w:bCs/>
          <w:color w:val="0B2E22"/>
          <w:sz w:val="30"/>
          <w:szCs w:val="30"/>
        </w:rPr>
        <w:t xml:space="preserve"> </w:t>
      </w:r>
      <w:proofErr w:type="spellStart"/>
      <w:r>
        <w:rPr>
          <w:b/>
          <w:bCs/>
          <w:color w:val="0B2E22"/>
          <w:sz w:val="30"/>
          <w:szCs w:val="30"/>
        </w:rPr>
        <w:t>Card</w:t>
      </w:r>
      <w:proofErr w:type="spellEnd"/>
      <w:r>
        <w:rPr>
          <w:b/>
          <w:bCs/>
          <w:color w:val="0B2E22"/>
          <w:sz w:val="30"/>
          <w:szCs w:val="30"/>
        </w:rPr>
        <w:t xml:space="preserve"> (Primeira Versão)</w:t>
      </w:r>
    </w:p>
    <w:p w:rsidR="00367802" w:rsidRDefault="00136D3B">
      <w:pPr>
        <w:spacing w:after="200"/>
      </w:pPr>
      <w:r>
        <w:rPr>
          <w:color w:val="1A1A1A"/>
          <w:sz w:val="22"/>
          <w:szCs w:val="22"/>
        </w:rPr>
        <w:t xml:space="preserve">O </w:t>
      </w:r>
      <w:proofErr w:type="spellStart"/>
      <w:r>
        <w:rPr>
          <w:color w:val="1A1A1A"/>
          <w:sz w:val="22"/>
          <w:szCs w:val="22"/>
        </w:rPr>
        <w:t>Model</w:t>
      </w:r>
      <w:proofErr w:type="spellEnd"/>
      <w:r>
        <w:rPr>
          <w:color w:val="1A1A1A"/>
          <w:sz w:val="22"/>
          <w:szCs w:val="22"/>
        </w:rPr>
        <w:t xml:space="preserve"> </w:t>
      </w:r>
      <w:proofErr w:type="spellStart"/>
      <w:r>
        <w:rPr>
          <w:color w:val="1A1A1A"/>
          <w:sz w:val="22"/>
          <w:szCs w:val="22"/>
        </w:rPr>
        <w:t>Card</w:t>
      </w:r>
      <w:proofErr w:type="spellEnd"/>
      <w:r>
        <w:rPr>
          <w:color w:val="1A1A1A"/>
          <w:sz w:val="22"/>
          <w:szCs w:val="22"/>
        </w:rPr>
        <w:t xml:space="preserve"> é um documento padronizado e resumido que des</w:t>
      </w:r>
      <w:r>
        <w:rPr>
          <w:color w:val="1A1A1A"/>
          <w:sz w:val="22"/>
          <w:szCs w:val="22"/>
        </w:rPr>
        <w:t>creve o modelo de forma transparente: o que ele faz, com quais dados foi construído, como avaliar seus resultados, e quais são seus limites. Deve poder ser lido por alguém que não participou do desenvolvimento.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Detalhes do Modelo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 xml:space="preserve">Nome do modelo, versão, </w:t>
      </w:r>
      <w:r>
        <w:rPr>
          <w:i/>
          <w:iCs/>
          <w:color w:val="595959"/>
          <w:sz w:val="21"/>
          <w:szCs w:val="21"/>
        </w:rPr>
        <w:t>data, tipo de algoritmo usado, e quem desenvolveu.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ASA Conecta — Baseline de Risco de Evasão | Versão 0.1 (baseline) | 25/09/2026 | Regressão Logística (imputação + padronização/</w:t>
      </w:r>
      <w:proofErr w:type="spellStart"/>
      <w:r>
        <w:t>one</w:t>
      </w:r>
      <w:proofErr w:type="spellEnd"/>
      <w:r>
        <w:t>-hot) | Grupo: [</w:t>
      </w:r>
      <w:r w:rsidR="006D53D9">
        <w:t>Asa Conecta</w:t>
      </w:r>
      <w:bookmarkStart w:id="0" w:name="_GoBack"/>
      <w:bookmarkEnd w:id="0"/>
      <w:r>
        <w:t>]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Uso Pretendido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Para que o mo</w:t>
      </w:r>
      <w:r>
        <w:rPr>
          <w:i/>
          <w:iCs/>
          <w:color w:val="595959"/>
          <w:sz w:val="21"/>
          <w:szCs w:val="21"/>
        </w:rPr>
        <w:t>delo serve, quem são os usuários (atendentes do ASA), e — importante — o que ele NÃO deve ser usado para (o documento do projeto exige: apoiar decisões, nunca substituir a análise humana ou aplicar sanções automáticas).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O modelo destina-se a apoiar os aten</w:t>
      </w:r>
      <w:r>
        <w:t>dentes do ASA na triagem e priorização do acompanhamento de estudantes, oferecendo um score de risco relativo e a explicação dos fatores associados, para orientar ações de contato e acolhimento.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O modelo NÃO deve ser usado para aplicar sanções, bloqueios d</w:t>
      </w:r>
      <w:r>
        <w:t>e matrícula, reprovação, cancelamento de matrícula, restrição de serviços ou qualquer decisão administrativa automática. Toda saída do modelo passa por revisão humana antes de gerar uma ação.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Dados de Treinamento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De onde vieram os dados, tamanho da base, p</w:t>
      </w:r>
      <w:r>
        <w:rPr>
          <w:i/>
          <w:iCs/>
          <w:color w:val="595959"/>
          <w:sz w:val="21"/>
          <w:szCs w:val="21"/>
        </w:rPr>
        <w:t>eríodo coberto, e principais atributos utilizados.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Os dados vêm da base unificada base_unificada_asa-final.csv, com 12.842 registros (uma linha por aluno/registro consolidado) e 24 colunas, após remover os registros sem rótulo disponível. A classe evasão r</w:t>
      </w:r>
      <w:r>
        <w:t xml:space="preserve">epresenta 2.512 casos (19,6%). As </w:t>
      </w:r>
      <w:proofErr w:type="spellStart"/>
      <w:r>
        <w:t>features</w:t>
      </w:r>
      <w:proofErr w:type="spellEnd"/>
      <w:r>
        <w:t xml:space="preserve"> cobrem cinco dimensões: contexto/geografia, matrícula, financeiro, histórico acadêmico e relacionamento. ID_ALUNO e o status acadêmico usado para construir o rótulo não entram como </w:t>
      </w:r>
      <w:proofErr w:type="spellStart"/>
      <w:r>
        <w:t>features</w:t>
      </w:r>
      <w:proofErr w:type="spellEnd"/>
      <w:r>
        <w:t>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Avaliação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Qual métrica</w:t>
      </w:r>
      <w:r>
        <w:rPr>
          <w:i/>
          <w:iCs/>
          <w:color w:val="595959"/>
          <w:sz w:val="21"/>
          <w:szCs w:val="21"/>
        </w:rPr>
        <w:t xml:space="preserve"> foi usada e o resultado preliminar desta baseline (número simples — a avaliação completa, com comparação de modelos, vem na Entrega 2).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proofErr w:type="spellStart"/>
      <w:r>
        <w:t>Holdout</w:t>
      </w:r>
      <w:proofErr w:type="spellEnd"/>
      <w:r>
        <w:t xml:space="preserve"> estratificado 80/20 (</w:t>
      </w:r>
      <w:proofErr w:type="spellStart"/>
      <w:r>
        <w:t>random_state</w:t>
      </w:r>
      <w:proofErr w:type="spellEnd"/>
      <w:r>
        <w:t xml:space="preserve">=42): ROC-AUC = 0,814; PR-AUC = 0,562; Recall (evasão) = 0,777; </w:t>
      </w:r>
      <w:proofErr w:type="spellStart"/>
      <w:r>
        <w:t>Precision</w:t>
      </w:r>
      <w:proofErr w:type="spellEnd"/>
      <w:r>
        <w:t xml:space="preserve"> (eva</w:t>
      </w:r>
      <w:r>
        <w:t>são) = 0,413; F1 (evasão) = 0,540; Acurácia = 0,740. Validação cruzada 5-fold: ROC-AUC médio = 0,831 ± 0,010. A avaliação completa, com comparação entre modelos, será feita na Entrega 2.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Considerações Éticas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Como o modelo respeita privacidade, evita decisõ</w:t>
      </w:r>
      <w:r>
        <w:rPr>
          <w:i/>
          <w:iCs/>
          <w:color w:val="595959"/>
          <w:sz w:val="21"/>
          <w:szCs w:val="21"/>
        </w:rPr>
        <w:t>es punitivas automáticas, e mantém a participação humana — conforme os princípios do documento do projeto.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O score é apoio à decisão; não substitui a análise humana nem aplica sanções ou decisões administrativas automáticas.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Dados pessoais são minimiza</w:t>
      </w:r>
      <w:r>
        <w:t>dos e tratados conforme as regras institucionais e a LGPD.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Logs devem registrar versão do modelo, fatores apresentados, decisão humana tomada e resultado, permitindo auditoria.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- Antes do uso operacional, é necessário avaliar o desempenho por subgrupos para identificar possíveis vieses e coberturas desiguais entre perfis de alunos.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lastRenderedPageBreak/>
        <w:t>Limitações</w:t>
      </w:r>
    </w:p>
    <w:p w:rsidR="00367802" w:rsidRDefault="00136D3B">
      <w:pPr>
        <w:spacing w:after="200"/>
      </w:pPr>
      <w:r>
        <w:rPr>
          <w:i/>
          <w:iCs/>
          <w:color w:val="595959"/>
          <w:sz w:val="21"/>
          <w:szCs w:val="21"/>
        </w:rPr>
        <w:t>Resumo curto das limitações já descritas na Parte 1 (2-3 frases).</w:t>
      </w:r>
    </w:p>
    <w:p w:rsidR="00367802" w:rsidRDefault="00136D3B">
      <w:pPr>
        <w:pBdr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</w:pBdr>
        <w:shd w:val="clear" w:color="auto" w:fill="F7F8F7"/>
        <w:spacing w:after="300"/>
      </w:pPr>
      <w:r>
        <w:t>O rótulo é uma proxy d</w:t>
      </w:r>
      <w:r>
        <w:t>o status acadêmico, sujeita a casos ambíguos; a base pode conter viés histórico; o split aleatório pode superestimar a generalização; e os limiares de faixa (0,35/0,65) são provisórios, ainda sem calibração de custo com o ASA.</w:t>
      </w:r>
    </w:p>
    <w:p w:rsidR="00367802" w:rsidRDefault="00136D3B">
      <w:pPr>
        <w:pStyle w:val="Ttulo2"/>
        <w:spacing w:before="300" w:after="150"/>
      </w:pPr>
      <w:r>
        <w:rPr>
          <w:b/>
          <w:bCs/>
          <w:color w:val="0B2E22"/>
        </w:rPr>
        <w:t>Histórico de Versões</w:t>
      </w:r>
    </w:p>
    <w:tbl>
      <w:tblPr>
        <w:tblW w:w="9000" w:type="dxa"/>
        <w:tblLayout w:type="fixed"/>
        <w:tblLook w:val="0000" w:firstRow="0" w:lastRow="0" w:firstColumn="0" w:lastColumn="0" w:noHBand="0" w:noVBand="0"/>
      </w:tblPr>
      <w:tblGrid>
        <w:gridCol w:w="1500"/>
        <w:gridCol w:w="2000"/>
        <w:gridCol w:w="5500"/>
      </w:tblGrid>
      <w:tr w:rsidR="00367802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D</w:t>
            </w:r>
            <w:r>
              <w:rPr>
                <w:b/>
                <w:bCs/>
                <w:color w:val="FFFFFF"/>
              </w:rPr>
              <w:t>ata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2E22"/>
          </w:tcPr>
          <w:p w:rsidR="00367802" w:rsidRDefault="00136D3B">
            <w:r>
              <w:rPr>
                <w:b/>
                <w:bCs/>
                <w:color w:val="FFFFFF"/>
              </w:rPr>
              <w:t>Alterações</w:t>
            </w:r>
          </w:p>
        </w:tc>
      </w:tr>
      <w:tr w:rsidR="00367802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rPr>
                <w:color w:val="595959"/>
              </w:rPr>
              <w:t>1.0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rPr>
                <w:color w:val="595959"/>
              </w:rPr>
              <w:t>25/09/2026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802" w:rsidRDefault="00136D3B">
            <w:r>
              <w:rPr>
                <w:color w:val="595959"/>
              </w:rPr>
              <w:t>Primeira versão (baseline) — Entrega 1</w:t>
            </w:r>
          </w:p>
        </w:tc>
      </w:tr>
    </w:tbl>
    <w:p w:rsidR="00136D3B" w:rsidRDefault="00136D3B"/>
    <w:sectPr w:rsidR="00136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6D3B" w:rsidRDefault="00136D3B">
      <w:r>
        <w:separator/>
      </w:r>
    </w:p>
  </w:endnote>
  <w:endnote w:type="continuationSeparator" w:id="0">
    <w:p w:rsidR="00136D3B" w:rsidRDefault="00136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802" w:rsidRDefault="003678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802" w:rsidRDefault="00136D3B">
    <w:pPr>
      <w:jc w:val="center"/>
    </w:pPr>
    <w:r>
      <w:rPr>
        <w:color w:val="8A8A8A"/>
        <w:sz w:val="16"/>
        <w:szCs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802" w:rsidRDefault="00136D3B">
    <w:pPr>
      <w:jc w:val="center"/>
    </w:pPr>
    <w:r>
      <w:rPr>
        <w:color w:val="8A8A8A"/>
        <w:sz w:val="16"/>
        <w:szCs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6D3B" w:rsidRDefault="00136D3B">
      <w:r>
        <w:separator/>
      </w:r>
    </w:p>
  </w:footnote>
  <w:footnote w:type="continuationSeparator" w:id="0">
    <w:p w:rsidR="00136D3B" w:rsidRDefault="00136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802" w:rsidRDefault="003678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802" w:rsidRDefault="00136D3B">
    <w:pPr>
      <w:jc w:val="right"/>
    </w:pPr>
    <w:r>
      <w:rPr>
        <w:color w:val="8A8A8A"/>
        <w:sz w:val="16"/>
        <w:szCs w:val="16"/>
      </w:rPr>
      <w:t>PI · ASA · Entrega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7802" w:rsidRDefault="00136D3B">
    <w:pPr>
      <w:jc w:val="right"/>
    </w:pPr>
    <w:r>
      <w:rPr>
        <w:color w:val="8A8A8A"/>
        <w:sz w:val="16"/>
        <w:szCs w:val="16"/>
      </w:rPr>
      <w:t>PI · ASA · Entrega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802"/>
    <w:rsid w:val="00136D3B"/>
    <w:rsid w:val="00367802"/>
    <w:rsid w:val="006D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25646"/>
  <w15:docId w15:val="{0E5810BC-9754-4D79-B4C4-70288A03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oto Serif CJK SC" w:hAnsi="Times New Roman" w:cs="FreeSans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1916</Words>
  <Characters>10350</Characters>
  <Application>Microsoft Office Word</Application>
  <DocSecurity>0</DocSecurity>
  <Lines>86</Lines>
  <Paragraphs>24</Paragraphs>
  <ScaleCrop>false</ScaleCrop>
  <Company>FECAP</Company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Felipe Toshio Yamaschita</cp:lastModifiedBy>
  <cp:revision>4</cp:revision>
  <dcterms:created xsi:type="dcterms:W3CDTF">2026-09-15T20:32:00Z</dcterms:created>
  <dcterms:modified xsi:type="dcterms:W3CDTF">2026-09-25T23:51:00Z</dcterms:modified>
  <dc:language>pt-BR</dc:language>
</cp:coreProperties>
</file>