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242424"/>
          <w:sz w:val="24"/>
          <w:szCs w:val="24"/>
          <w:rtl w:val="0"/>
        </w:rPr>
        <w:t xml:space="preserve">FECAP - FUNDAÇÃO ESCOLA DE COMÉRCIO ÁLVARES PENTEADO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>
        <w:rPr>
          <w:rFonts w:ascii="Arial" w:cs="Arial" w:eastAsia="Arial" w:hAnsi="Arial"/>
          <w:i w:val="0"/>
          <w:iCs w:val="0"/>
          <w:color w:val="242424"/>
          <w:sz w:val="24"/>
          <w:szCs w:val="24"/>
          <w:rtl w:val="0"/>
        </w:rPr>
        <w:t xml:space="preserve">Curso de Ciência da Computação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>
        <w:rPr>
          <w:rFonts w:ascii="Arial" w:cs="Arial" w:eastAsia="Arial" w:hAnsi="Arial"/>
          <w:i w:val="0"/>
          <w:iCs w:val="0"/>
          <w:color w:val="242424"/>
          <w:sz w:val="24"/>
          <w:szCs w:val="24"/>
          <w:rtl w:val="0"/>
        </w:rPr>
        <w:t xml:space="preserve">6º Semestre - Turma 6º CCOMP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480" w:before="1920" w:lineRule="auto"/>
        <w:jc w:val="center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2f6b24"/>
          <w:sz w:val="36"/>
          <w:szCs w:val="36"/>
          <w:rtl w:val="0"/>
        </w:rPr>
        <w:t xml:space="preserve">SMASH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0" w:lineRule="auto"/>
        <w:jc w:val="center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242424"/>
          <w:sz w:val="30"/>
          <w:szCs w:val="30"/>
          <w:rtl w:val="0"/>
        </w:rPr>
        <w:t xml:space="preserve">PLANO DE GERENCIAMENTO DE RISCOS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1480" w:lineRule="auto"/>
        <w:jc w:val="center"/>
        <w:rPr/>
      </w:pPr>
      <w:r>
        <w:rPr>
          <w:rFonts w:ascii="Arial" w:cs="Arial" w:eastAsia="Arial" w:hAnsi="Arial"/>
          <w:i w:val="0"/>
          <w:iCs w:val="0"/>
          <w:color w:val="242424"/>
          <w:sz w:val="24"/>
          <w:szCs w:val="24"/>
          <w:rtl w:val="0"/>
        </w:rPr>
        <w:t xml:space="preserve">Entrega 1 - Redes de Computadores e Cibersegurança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jc w:val="center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242424"/>
          <w:sz w:val="24"/>
          <w:szCs w:val="24"/>
          <w:rtl w:val="0"/>
        </w:rPr>
        <w:t xml:space="preserve">Projeto 7 - Grupo Smash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jc w:val="center"/>
        <w:rPr/>
      </w:pPr>
      <w:r>
        <w:rPr>
          <w:rFonts w:ascii="Arial" w:cs="Arial" w:eastAsia="Arial" w:hAnsi="Arial"/>
          <w:i w:val="0"/>
          <w:iCs w:val="0"/>
          <w:color w:val="242424"/>
          <w:sz w:val="24"/>
          <w:szCs w:val="24"/>
          <w:rtl w:val="0"/>
        </w:rPr>
        <w:t xml:space="preserve">Felipe Vallim Soares - 24026060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jc w:val="center"/>
        <w:rPr/>
      </w:pPr>
      <w:r>
        <w:rPr>
          <w:rFonts w:ascii="Arial" w:cs="Arial" w:eastAsia="Arial" w:hAnsi="Arial"/>
          <w:i w:val="0"/>
          <w:iCs w:val="0"/>
          <w:color w:val="242424"/>
          <w:sz w:val="24"/>
          <w:szCs w:val="24"/>
          <w:rtl w:val="0"/>
        </w:rPr>
        <w:t xml:space="preserve">Guilhermy Mariano Lisboa Garcia - 23025371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jc w:val="center"/>
        <w:rPr/>
      </w:pPr>
      <w:r>
        <w:rPr>
          <w:rFonts w:ascii="Arial" w:cs="Arial" w:eastAsia="Arial" w:hAnsi="Arial"/>
          <w:i w:val="0"/>
          <w:iCs w:val="0"/>
          <w:color w:val="242424"/>
          <w:sz w:val="24"/>
          <w:szCs w:val="24"/>
          <w:rtl w:val="0"/>
        </w:rPr>
        <w:t xml:space="preserve">Gustavo Oliveira Demetrio - 24026213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jc w:val="center"/>
        <w:rPr/>
      </w:pPr>
      <w:r>
        <w:rPr>
          <w:rFonts w:ascii="Arial" w:cs="Arial" w:eastAsia="Arial" w:hAnsi="Arial"/>
          <w:i w:val="0"/>
          <w:iCs w:val="0"/>
          <w:color w:val="242424"/>
          <w:sz w:val="24"/>
          <w:szCs w:val="24"/>
          <w:rtl w:val="0"/>
        </w:rPr>
        <w:t xml:space="preserve">Saulo Pereira de Jesus - 24026095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spacing w:before="680" w:lineRule="auto"/>
        <w:jc w:val="center"/>
        <w:rPr/>
      </w:pPr>
      <w:r>
        <w:rPr>
          <w:rFonts w:ascii="Arial" w:cs="Arial" w:eastAsia="Arial" w:hAnsi="Arial"/>
          <w:i w:val="0"/>
          <w:iCs w:val="0"/>
          <w:color w:val="242424"/>
          <w:sz w:val="24"/>
          <w:szCs w:val="24"/>
          <w:rtl w:val="0"/>
        </w:rPr>
        <w:t xml:space="preserve">Prof. Victor Bruno Alexander Rosetti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1760" w:lineRule="auto"/>
        <w:jc w:val="center"/>
        <w:rPr/>
      </w:pPr>
      <w:r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1760" w:lineRule="auto"/>
        <w:jc w:val="center"/>
        <w:rPr/>
      </w:pPr>
      <w:r>
        <w:rPr>
          <w:rFonts w:ascii="Arial" w:cs="Arial" w:eastAsia="Arial" w:hAnsi="Arial"/>
          <w:i w:val="0"/>
          <w:iCs w:val="0"/>
          <w:color w:val="242424"/>
          <w:sz w:val="24"/>
          <w:szCs w:val="24"/>
          <w:rtl w:val="0"/>
        </w:rPr>
        <w:t xml:space="preserve">São Paulo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>
        <w:rPr>
          <w:rFonts w:ascii="Arial" w:cs="Arial" w:eastAsia="Arial" w:hAnsi="Arial"/>
          <w:i w:val="0"/>
          <w:iCs w:val="0"/>
          <w:color w:val="242424"/>
          <w:sz w:val="24"/>
          <w:szCs w:val="24"/>
          <w:rtl w:val="0"/>
        </w:rPr>
        <w:t xml:space="preserve">2026</w:t>
      </w:r>
      <w:r>
        <w:rPr>
          <w:rtl w:val="0"/>
        </w:rPr>
      </w:r>
    </w:p>
    <w:p>
      <w:pPr>
        <w:pStyle w:val="Heading1"/>
        <w:keepNext w:val="1"/>
        <w:pageBreakBefore w:val="1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6b24"/>
          <w:sz w:val="24"/>
          <w:szCs w:val="24"/>
        </w:rPr>
        <w:t xml:space="preserve">IDENTIFICAÇÃO DO DOCUMENTO</w:t>
      </w:r>
    </w:p>
    <w:p>
      <w:pPr>
        <w:keepNext w:val="1"/>
        <w:spacing w:after="60" w:before="80" w:lineRule="auto"/>
        <w:rPr/>
      </w:pPr>
      <w:r>
        <w:rPr>
          <w:rFonts w:ascii="Arial" w:cs="Arial" w:eastAsia="Arial" w:hAnsi="Arial"/>
          <w:b w:val="0"/>
          <w:bCs w:val="0"/>
          <w:color w:val="595959"/>
          <w:sz w:val="19"/>
          <w:szCs w:val="19"/>
        </w:rPr>
        <w:t xml:space="preserve">Quadro 1 - Identificação do plano.</w:t>
      </w:r>
    </w:p>
    <w:tbl>
      <w:tblPr>
        <w:tblStyle w:val="Table2"/>
        <w:tblW w:w="9072" w:type="dxa"/>
        <w:jc w:val="center"/>
        <w:tblBorders>
          <w:top w:color="70ad47" w:space="0" w:sz="6" w:val="single"/>
          <w:left w:color="70ad47" w:space="0" w:sz="6" w:val="single"/>
          <w:bottom w:color="70ad47" w:space="0" w:sz="6" w:val="single"/>
          <w:right w:color="70ad47" w:space="0" w:sz="6" w:val="single"/>
          <w:insideH w:color="70ad47" w:space="0" w:sz="6" w:val="single"/>
          <w:insideV w:color="70ad47" w:space="0" w:sz="6" w:val="single"/>
        </w:tblBorders>
        <w:tblLayout w:type="fixed"/>
        <w:tblLook w:val="0400"/>
      </w:tblPr>
      <w:tblGrid>
        <w:gridCol w:w="2400"/>
        <w:gridCol w:w="6672"/>
      </w:tblGrid>
      <w:tr>
        <w:trPr>
          <w:cantSplit w:val="1"/>
          <w:tblHeader w:val="1"/>
        </w:trPr>
        <w:tc>
          <w:tcPr>
            <w:tcW w:w="2400" w:type="dxa"/>
            <w:shd w:fill="c6e0b4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9"/>
                <w:szCs w:val="19"/>
              </w:rPr>
              <w:t xml:space="preserve">Campo</w:t>
            </w:r>
          </w:p>
        </w:tc>
        <w:tc>
          <w:tcPr>
            <w:tcW w:w="6672" w:type="dxa"/>
            <w:shd w:fill="c6e0b4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9"/>
                <w:szCs w:val="19"/>
              </w:rPr>
              <w:t xml:space="preserve">Informação</w:t>
            </w:r>
          </w:p>
        </w:tc>
      </w:tr>
      <w:tr>
        <w:trPr>
          <w:cantSplit w:val="1"/>
        </w:trPr>
        <w:tc>
          <w:tcPr>
            <w:tcW w:w="24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Projeto</w:t>
            </w:r>
          </w:p>
        </w:tc>
        <w:tc>
          <w:tcPr>
            <w:tcW w:w="6672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Smash - parede instrumentada de treino de tênis (Projeto 7)</w:t>
            </w:r>
          </w:p>
        </w:tc>
      </w:tr>
      <w:tr>
        <w:trPr>
          <w:cantSplit w:val="1"/>
        </w:trPr>
        <w:tc>
          <w:tcPr>
            <w:tcW w:w="2400" w:type="dxa"/>
            <w:shd w:fill="f1f7ea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Disciplina</w:t>
            </w:r>
          </w:p>
        </w:tc>
        <w:tc>
          <w:tcPr>
            <w:tcW w:w="6672" w:type="dxa"/>
            <w:shd w:fill="f1f7ea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Redes de Computadores e Cibersegurança - Entrega 1</w:t>
            </w:r>
          </w:p>
        </w:tc>
      </w:tr>
      <w:tr>
        <w:trPr>
          <w:cantSplit w:val="1"/>
        </w:trPr>
        <w:tc>
          <w:tcPr>
            <w:tcW w:w="24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Data</w:t>
            </w:r>
          </w:p>
        </w:tc>
        <w:tc>
          <w:tcPr>
            <w:tcW w:w="6672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25/09/2026</w:t>
            </w:r>
          </w:p>
        </w:tc>
      </w:tr>
      <w:tr>
        <w:trPr>
          <w:cantSplit w:val="1"/>
        </w:trPr>
        <w:tc>
          <w:tcPr>
            <w:tcW w:w="2400" w:type="dxa"/>
            <w:shd w:fill="f1f7ea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Versão</w:t>
            </w:r>
          </w:p>
        </w:tc>
        <w:tc>
          <w:tcPr>
            <w:tcW w:w="6672" w:type="dxa"/>
            <w:shd w:fill="f1f7ea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1.0</w:t>
            </w:r>
          </w:p>
        </w:tc>
      </w:tr>
      <w:tr>
        <w:trPr>
          <w:cantSplit w:val="1"/>
        </w:trPr>
        <w:tc>
          <w:tcPr>
            <w:tcW w:w="24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Repositório</w:t>
            </w:r>
          </w:p>
        </w:tc>
        <w:tc>
          <w:tcPr>
            <w:tcW w:w="6672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f6b24"/>
                <w:sz w:val="19"/>
                <w:szCs w:val="19"/>
              </w:rPr>
              <w:t xml:space="preserve">https://github.com/2026-2-NCC6/Projeto7</w:t>
            </w:r>
          </w:p>
        </w:tc>
      </w:tr>
      <w:tr>
        <w:trPr>
          <w:cantSplit w:val="1"/>
        </w:trPr>
        <w:tc>
          <w:tcPr>
            <w:tcW w:w="2400" w:type="dxa"/>
            <w:shd w:fill="f1f7ea" w:val="clear"/>
            <w:tcMar>
              <w:top w:w="80" w:type="dxa"/>
              <w:bottom w:w="8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Código de referência</w:t>
            </w:r>
          </w:p>
        </w:tc>
        <w:tc>
          <w:tcPr>
            <w:tcW w:w="6672" w:type="dxa"/>
            <w:shd w:fill="f1f7ea" w:val="clear"/>
            <w:tcMar>
              <w:top w:w="80" w:type="dxa"/>
              <w:bottom w:w="8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Commit </w:t>
            </w: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f6b24"/>
                <w:sz w:val="19"/>
                <w:szCs w:val="19"/>
              </w:rPr>
              <w:t xml:space="preserve">1a99fd6d2bd2312928ef4f3add32b903e67b3452</w:t>
            </w: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, pasta </w:t>
            </w: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f6b24"/>
                <w:sz w:val="19"/>
                <w:szCs w:val="19"/>
              </w:rPr>
              <w:t xml:space="preserve">src/Entrega1</w:t>
            </w:r>
          </w:p>
        </w:tc>
      </w:tr>
    </w:tbl>
    <w:p>
      <w:pPr>
        <w:pStyle w:val="Heading1"/>
        <w:keepNext w:val="1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6b24"/>
          <w:sz w:val="24"/>
          <w:szCs w:val="24"/>
        </w:rPr>
        <w:t xml:space="preserve">1 INTRODUÇÃO</w:t>
      </w:r>
    </w:p>
    <w:p>
      <w:pPr>
        <w:spacing w:after="120" w:line="360" w:lineRule="auto"/>
        <w:ind w:firstLine="709"/>
        <w:jc w:val="both"/>
        <w:rPr/>
      </w:pP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Este documento descreve como o gerenciamento de riscos será estruturado e realizado para o projeto Smash. O Smash transforma uma parede comum em uma superfície de treino de tênis com nove alvos em matriz 3 × 3, cada um com uma pastilha piezoelétrica lida por um ESP32. O ESP32 identifica o alvo atingido e envia o evento ao aplicativo React Native por WebSocket; o aplicativo conduz os modos de jogo e registra o resultado da sessão na API NestJS, que mantém contas, progressão e histórico no PostgreSQL.</w:t>
      </w:r>
    </w:p>
    <w:p>
      <w:pPr>
        <w:spacing w:after="120" w:line="360" w:lineRule="auto"/>
        <w:ind w:firstLine="709"/>
        <w:jc w:val="both"/>
        <w:rPr/>
      </w:pP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O objetivo é identificar, analisar, planejar respostas e monitorar os riscos para aumentar a probabilidade de sucesso do projeto e minimizar o impacto de eventos negativos. Como o plano é entregue na disciplina de Redes de Computadores e Cibersegurança, ele dá prioridade aos riscos que afetam confidencialidade, integridade e disponibilidade: comunicação entre componentes, autenticação, credenciais e confiança nos dados que chegam de cada camada. Riscos gerenciais, organizacionais e externos também são registrados quando podem impedir que as respostas de segurança sejam implementadas ou demonstradas.</w:t>
      </w:r>
    </w:p>
    <w:p>
      <w:pPr>
        <w:spacing w:after="120" w:line="360" w:lineRule="auto"/>
        <w:ind w:firstLine="709"/>
        <w:jc w:val="both"/>
        <w:rPr/>
      </w:pP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Os riscos técnicos foram levantados sobre o código do projeto no estado indicado no Quadro 1. Cada um aponta o arquivo e a linha em que a condição pode ser conferida (Quadro 9, no Anexo A). Os caminhos citados são relativos à pasta </w:t>
      </w:r>
      <w:r>
        <w:rPr>
          <w:rFonts w:ascii="Arial" w:cs="Arial" w:eastAsia="Arial" w:hAnsi="Arial"/>
          <w:b w:val="0"/>
          <w:bCs w:val="0"/>
          <w:i w:val="1"/>
          <w:iCs w:val="1"/>
          <w:color w:val="2f6b24"/>
          <w:sz w:val="24"/>
          <w:szCs w:val="24"/>
        </w:rPr>
        <w:t xml:space="preserve">src/Entrega1</w:t>
      </w: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 do repositório.</w:t>
      </w:r>
    </w:p>
    <w:p>
      <w:pPr>
        <w:pStyle w:val="Heading1"/>
        <w:keepNext w:val="1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6b24"/>
          <w:sz w:val="24"/>
          <w:szCs w:val="24"/>
        </w:rPr>
        <w:t xml:space="preserve">2 METODOLOGIA</w:t>
      </w:r>
    </w:p>
    <w:p>
      <w:pPr>
        <w:spacing w:after="120" w:line="360" w:lineRule="auto"/>
        <w:ind w:firstLine="709"/>
        <w:jc w:val="both"/>
        <w:rPr/>
      </w:pP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A abordagem para o gerenciamento de riscos neste projeto será a seguinte:</w:t>
      </w:r>
    </w:p>
    <w:p>
      <w:pPr>
        <w:spacing w:after="60" w:line="324" w:lineRule="auto"/>
        <w:ind w:left="369" w:hanging="198"/>
        <w:jc w:val="both"/>
        <w:rPr/>
      </w:pP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• </w:t>
      </w:r>
      <w:r>
        <w:rPr>
          <w:rFonts w:ascii="Arial" w:cs="Arial" w:eastAsia="Arial" w:hAnsi="Arial"/>
          <w:b w:val="1"/>
          <w:bCs w:val="1"/>
          <w:color w:val="242424"/>
          <w:sz w:val="24"/>
          <w:szCs w:val="24"/>
        </w:rPr>
        <w:t xml:space="preserve">Identificação de Riscos:</w:t>
      </w: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 os riscos são identificados por revisão estática do código-fonte do firmware, do aplicativo e da API; leitura dos requisitos do documento do Projeto Interdisciplinar; verificação automatizada das dependências com npm audit; e discussão da equipe nas reuniões de acompanhamento. A revisão foi estática: não foram realizados ataques em rede real nem testes destrutivos no ESP32.</w:t>
      </w:r>
    </w:p>
    <w:p>
      <w:pPr>
        <w:spacing w:after="60" w:line="324" w:lineRule="auto"/>
        <w:ind w:left="369" w:hanging="198"/>
        <w:jc w:val="both"/>
        <w:rPr/>
      </w:pP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• </w:t>
      </w:r>
      <w:r>
        <w:rPr>
          <w:rFonts w:ascii="Arial" w:cs="Arial" w:eastAsia="Arial" w:hAnsi="Arial"/>
          <w:b w:val="1"/>
          <w:bCs w:val="1"/>
          <w:color w:val="242424"/>
          <w:sz w:val="24"/>
          <w:szCs w:val="24"/>
        </w:rPr>
        <w:t xml:space="preserve">Análise de Riscos:</w:t>
      </w: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 cada risco recebe um nível de probabilidade e um de impacto, conforme as definições da seção 6, e a severidade resulta da matriz da seção 7. A análise é qualitativa. A análise quantitativa não é aplicada porque o projeto não tem orçamento relevante em jogo; o custo real de um risco materializado é tempo de desenvolvimento e exposição de dados.</w:t>
      </w:r>
    </w:p>
    <w:p>
      <w:pPr>
        <w:spacing w:after="60" w:line="324" w:lineRule="auto"/>
        <w:ind w:left="369" w:hanging="198"/>
        <w:jc w:val="both"/>
        <w:rPr/>
      </w:pP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• </w:t>
      </w:r>
      <w:r>
        <w:rPr>
          <w:rFonts w:ascii="Arial" w:cs="Arial" w:eastAsia="Arial" w:hAnsi="Arial"/>
          <w:b w:val="1"/>
          <w:bCs w:val="1"/>
          <w:color w:val="242424"/>
          <w:sz w:val="24"/>
          <w:szCs w:val="24"/>
        </w:rPr>
        <w:t xml:space="preserve">Planejamento de Respostas:</w:t>
      </w: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 para cada risco de severidade Médio ou superior é definida uma estratégia (prevenir, transferir, mitigar ou aceitar), uma ação concreta, um responsável e um prazo. Riscos Baixos e Muito Baixos podem ser aceitos com monitoramento.</w:t>
      </w:r>
    </w:p>
    <w:p>
      <w:pPr>
        <w:spacing w:after="60" w:line="324" w:lineRule="auto"/>
        <w:ind w:left="369" w:hanging="198"/>
        <w:jc w:val="both"/>
        <w:rPr/>
      </w:pP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• </w:t>
      </w:r>
      <w:r>
        <w:rPr>
          <w:rFonts w:ascii="Arial" w:cs="Arial" w:eastAsia="Arial" w:hAnsi="Arial"/>
          <w:b w:val="1"/>
          <w:bCs w:val="1"/>
          <w:color w:val="242424"/>
          <w:sz w:val="24"/>
          <w:szCs w:val="24"/>
        </w:rPr>
        <w:t xml:space="preserve">Monitoramento e Controle:</w:t>
      </w: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 o Registro de Riscos é revisado nas reuniões de acompanhamento e atualizado sempre que um risco muda de probabilidade, impacto, responsável ou status. A eficácia de uma resposta é avaliada por evidência verificável no repositório, como commit, configuração ou teste, e não pela intenção declarada.</w:t>
      </w:r>
    </w:p>
    <w:p>
      <w:pPr>
        <w:pStyle w:val="Heading1"/>
        <w:keepNext w:val="1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6b24"/>
          <w:sz w:val="24"/>
          <w:szCs w:val="24"/>
        </w:rPr>
        <w:t xml:space="preserve">3 PAPÉIS E RESPONSABILIDADES</w:t>
      </w:r>
    </w:p>
    <w:p>
      <w:pPr>
        <w:spacing w:after="120" w:line="360" w:lineRule="auto"/>
        <w:ind w:firstLine="709"/>
        <w:jc w:val="both"/>
        <w:rPr/>
      </w:pP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Os papéis seguem o modelo de gerenciamento de riscos. A equipe do projeto é dividida pelas trilhas técnicas do Smash, e cada trilha responde pelos riscos da camada que desenvolve. No Registro de Riscos (Anexo A), a coluna Responsável indica a trilha, e o Quadro 2 indica o integrante responsável por ela.</w:t>
      </w:r>
    </w:p>
    <w:p>
      <w:pPr>
        <w:keepNext w:val="1"/>
        <w:spacing w:after="60" w:before="80" w:lineRule="auto"/>
        <w:rPr/>
      </w:pPr>
      <w:r>
        <w:rPr>
          <w:rFonts w:ascii="Arial" w:cs="Arial" w:eastAsia="Arial" w:hAnsi="Arial"/>
          <w:b w:val="0"/>
          <w:bCs w:val="0"/>
          <w:color w:val="595959"/>
          <w:sz w:val="19"/>
          <w:szCs w:val="19"/>
        </w:rPr>
        <w:t xml:space="preserve">Quadro 2 - Papéis e responsabilidades no gerenciamento de riscos.</w:t>
      </w:r>
    </w:p>
    <w:tbl>
      <w:tblPr>
        <w:tblStyle w:val="Table2"/>
        <w:tblW w:w="9072" w:type="dxa"/>
        <w:jc w:val="center"/>
        <w:tblBorders>
          <w:top w:color="70ad47" w:space="0" w:sz="6" w:val="single"/>
          <w:left w:color="70ad47" w:space="0" w:sz="6" w:val="single"/>
          <w:bottom w:color="70ad47" w:space="0" w:sz="6" w:val="single"/>
          <w:right w:color="70ad47" w:space="0" w:sz="6" w:val="single"/>
          <w:insideH w:color="70ad47" w:space="0" w:sz="6" w:val="single"/>
          <w:insideV w:color="70ad47" w:space="0" w:sz="6" w:val="single"/>
        </w:tblBorders>
        <w:tblLayout w:type="fixed"/>
        <w:tblLook w:val="0400"/>
      </w:tblPr>
      <w:tblGrid>
        <w:gridCol w:w="2600"/>
        <w:gridCol w:w="6472"/>
      </w:tblGrid>
      <w:tr>
        <w:trPr>
          <w:cantSplit w:val="1"/>
          <w:tblHeader w:val="1"/>
        </w:trPr>
        <w:tc>
          <w:tcPr>
            <w:tcW w:w="2600" w:type="dxa"/>
            <w:shd w:fill="c6e0b4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9"/>
                <w:szCs w:val="19"/>
              </w:rPr>
              <w:t xml:space="preserve">Papel</w:t>
            </w:r>
          </w:p>
        </w:tc>
        <w:tc>
          <w:tcPr>
            <w:tcW w:w="6472" w:type="dxa"/>
            <w:shd w:fill="c6e0b4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9"/>
                <w:szCs w:val="19"/>
              </w:rPr>
              <w:t xml:space="preserve">Responsabilidades no Gerenciamento de Riscos</w:t>
            </w:r>
          </w:p>
        </w:tc>
      </w:tr>
      <w:tr>
        <w:trPr>
          <w:cantSplit w:val="1"/>
        </w:trPr>
        <w:tc>
          <w:tcPr>
            <w:tcW w:w="2600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Gerente de Projeto</w:t>
            </w:r>
          </w:p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Saulo Pereira de Jesus</w:t>
            </w:r>
          </w:p>
        </w:tc>
        <w:tc>
          <w:tcPr>
            <w:tcW w:w="6472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Liderar o processo de gerenciamento de riscos e garantir que o plano seja seguido. Manter o Registro de Riscos atualizado no repositório, conduzir a revisão de riscos nas reuniões e comunicar o status ao professor da disciplina.</w:t>
            </w:r>
          </w:p>
        </w:tc>
      </w:tr>
      <w:tr>
        <w:trPr>
          <w:cantSplit w:val="1"/>
        </w:trPr>
        <w:tc>
          <w:tcPr>
            <w:tcW w:w="2600" w:type="dxa"/>
            <w:shd w:fill="f1f7ea" w:val="clear"/>
            <w:tcMar>
              <w:top w:w="80" w:type="dxa"/>
              <w:bottom w:w="8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Equipe do Projeto - Firmware (ESP32)</w:t>
            </w:r>
          </w:p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Felipe Vallim Soares</w:t>
            </w:r>
          </w:p>
        </w:tc>
        <w:tc>
          <w:tcPr>
            <w:tcW w:w="6472" w:type="dxa"/>
            <w:shd w:fill="f1f7ea" w:val="clear"/>
            <w:tcMar>
              <w:top w:w="80" w:type="dxa"/>
              <w:bottom w:w="8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Responder pelos riscos do dispositivo: rede SoftAP, WebSocket, sessão da parede, limites de conexão e calibração dos alvos (R02, R03, R05, R07, R13, R14, R18 e R19).</w:t>
            </w:r>
          </w:p>
        </w:tc>
      </w:tr>
      <w:tr>
        <w:trPr>
          <w:cantSplit w:val="1"/>
        </w:trPr>
        <w:tc>
          <w:tcPr>
            <w:tcW w:w="2600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Equipe do Projeto - Backend (API e banco)</w:t>
            </w:r>
          </w:p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Guilhermy Mariano Lisboa Garcia</w:t>
            </w:r>
          </w:p>
        </w:tc>
        <w:tc>
          <w:tcPr>
            <w:tcW w:w="6472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Responder pelos riscos da API e do PostgreSQL: HTTPS, CORS, limitação de tentativas, credenciais, JWT, validação da sessão, dependências e logs (R01, R04, R06, R08 a R13 e R17).</w:t>
            </w:r>
          </w:p>
        </w:tc>
      </w:tr>
      <w:tr>
        <w:trPr>
          <w:cantSplit w:val="1"/>
        </w:trPr>
        <w:tc>
          <w:tcPr>
            <w:tcW w:w="2600" w:type="dxa"/>
            <w:shd w:fill="f1f7ea" w:val="clear"/>
            <w:tcMar>
              <w:top w:w="80" w:type="dxa"/>
              <w:bottom w:w="8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Equipe do Projeto - Aplicativo Mobile</w:t>
            </w:r>
          </w:p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Gustavo Oliveira Demetrio</w:t>
            </w:r>
          </w:p>
        </w:tc>
        <w:tc>
          <w:tcPr>
            <w:tcW w:w="6472" w:type="dxa"/>
            <w:shd w:fill="f1f7ea" w:val="clear"/>
            <w:tcMar>
              <w:top w:w="80" w:type="dxa"/>
              <w:bottom w:w="8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Responder pelos riscos do cliente: endereço da API, conexão com a parede, dados de sessão enviados ao backend e contas usadas em demonstrações (R01, R02, R11 e R17).</w:t>
            </w:r>
          </w:p>
        </w:tc>
      </w:tr>
      <w:tr>
        <w:trPr>
          <w:cantSplit w:val="1"/>
        </w:trPr>
        <w:tc>
          <w:tcPr>
            <w:tcW w:w="2600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Patrocinador do Projeto</w:t>
            </w:r>
          </w:p>
        </w:tc>
        <w:tc>
          <w:tcPr>
            <w:tcW w:w="6472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Professor da disciplina, Prof. Victor Bruno Alexander Rosetti. Fornecer orientação e validar os critérios de avaliação. Decidir sobre riscos que excedam a autoridade da equipe, como mudanças de escopo ou de formato de entrega.</w:t>
            </w:r>
          </w:p>
        </w:tc>
      </w:tr>
      <w:tr>
        <w:trPr>
          <w:cantSplit w:val="1"/>
        </w:trPr>
        <w:tc>
          <w:tcPr>
            <w:tcW w:w="2600" w:type="dxa"/>
            <w:shd w:fill="f1f7ea" w:val="clear"/>
            <w:tcMar>
              <w:top w:w="80" w:type="dxa"/>
              <w:bottom w:w="8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Partes Interessadas</w:t>
            </w:r>
          </w:p>
        </w:tc>
        <w:tc>
          <w:tcPr>
            <w:tcW w:w="6472" w:type="dxa"/>
            <w:shd w:fill="f1f7ea" w:val="clear"/>
            <w:tcMar>
              <w:top w:w="80" w:type="dxa"/>
              <w:bottom w:w="8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Demais professores do Projeto Interdisciplinar e usuários de teste. Fornecer informações para a identificação de riscos e estar cientes dos principais riscos do projeto.</w:t>
            </w:r>
          </w:p>
        </w:tc>
      </w:tr>
    </w:tbl>
    <w:p>
      <w:pPr>
        <w:pStyle w:val="Heading1"/>
        <w:keepNext w:val="1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6b24"/>
          <w:sz w:val="24"/>
          <w:szCs w:val="24"/>
        </w:rPr>
        <w:t xml:space="preserve">4 ORÇAMENTO E CRONOGRAMA PARA GERENCIAMENTO DE RISCOS</w:t>
      </w:r>
    </w:p>
    <w:p>
      <w:pPr>
        <w:spacing w:after="60" w:line="324" w:lineRule="auto"/>
        <w:ind w:left="369" w:hanging="198"/>
        <w:jc w:val="both"/>
        <w:rPr/>
      </w:pP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• </w:t>
      </w:r>
      <w:r>
        <w:rPr>
          <w:rFonts w:ascii="Arial" w:cs="Arial" w:eastAsia="Arial" w:hAnsi="Arial"/>
          <w:b w:val="1"/>
          <w:bCs w:val="1"/>
          <w:color w:val="242424"/>
          <w:sz w:val="24"/>
          <w:szCs w:val="24"/>
        </w:rPr>
        <w:t xml:space="preserve">Orçamento:</w:t>
      </w: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 o projeto é acadêmico, custeado pela equipe e sem verba institucional. O hardware do protótipo custou R$ 199,39, somando ESP32, pastilhas piezoelétricas, multiplexadores, cabo de rede, diodos, resistores e jumpers; protoboard e placas de MDF já estavam disponíveis. As respostas aos riscos de segurança usam apenas configuração e software livre, sem custo adicional. A reserva de contingência proposta é física: uma segunda placa ESP32 (R$ 39,99, cerca de 20% do custo de hardware), somada às sobras dos kits de resistores e diodos e à pastilha piezoelétrica excedente do kit de dez unidades.</w:t>
      </w:r>
    </w:p>
    <w:p>
      <w:pPr>
        <w:spacing w:after="60" w:line="324" w:lineRule="auto"/>
        <w:ind w:left="369" w:hanging="198"/>
        <w:jc w:val="both"/>
        <w:rPr/>
      </w:pP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• </w:t>
      </w:r>
      <w:r>
        <w:rPr>
          <w:rFonts w:ascii="Arial" w:cs="Arial" w:eastAsia="Arial" w:hAnsi="Arial"/>
          <w:b w:val="1"/>
          <w:bCs w:val="1"/>
          <w:color w:val="242424"/>
          <w:sz w:val="24"/>
          <w:szCs w:val="24"/>
        </w:rPr>
        <w:t xml:space="preserve">Cronograma:</w:t>
      </w:r>
    </w:p>
    <w:p>
      <w:pPr>
        <w:spacing w:after="60" w:line="324" w:lineRule="auto"/>
        <w:ind w:left="738" w:hanging="198"/>
        <w:jc w:val="both"/>
        <w:rPr/>
      </w:pP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◦ </w:t>
      </w:r>
      <w:r>
        <w:rPr>
          <w:rFonts w:ascii="Arial" w:cs="Arial" w:eastAsia="Arial" w:hAnsi="Arial"/>
          <w:b w:val="1"/>
          <w:bCs w:val="1"/>
          <w:color w:val="242424"/>
          <w:sz w:val="24"/>
          <w:szCs w:val="24"/>
        </w:rPr>
        <w:t xml:space="preserve">Identificação Inicial de Riscos:</w:t>
      </w: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 12/09/2026 a 25/09/2026, da revisão estática e do npm audit até o fechamento da Entrega 1.</w:t>
      </w:r>
    </w:p>
    <w:p>
      <w:pPr>
        <w:spacing w:after="60" w:line="324" w:lineRule="auto"/>
        <w:ind w:left="738" w:hanging="198"/>
        <w:jc w:val="both"/>
        <w:rPr/>
      </w:pP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◦ </w:t>
      </w:r>
      <w:r>
        <w:rPr>
          <w:rFonts w:ascii="Arial" w:cs="Arial" w:eastAsia="Arial" w:hAnsi="Arial"/>
          <w:b w:val="1"/>
          <w:bCs w:val="1"/>
          <w:color w:val="242424"/>
          <w:sz w:val="24"/>
          <w:szCs w:val="24"/>
        </w:rPr>
        <w:t xml:space="preserve">Reuniões de Acompanhamento de Riscos:</w:t>
      </w: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 semanais, como item fixo da reunião da equipe, e antes de qualquer demonstração da parede.</w:t>
      </w:r>
    </w:p>
    <w:p>
      <w:pPr>
        <w:spacing w:after="60" w:line="324" w:lineRule="auto"/>
        <w:ind w:left="738" w:hanging="198"/>
        <w:jc w:val="both"/>
        <w:rPr/>
      </w:pP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◦ </w:t>
      </w:r>
      <w:r>
        <w:rPr>
          <w:rFonts w:ascii="Arial" w:cs="Arial" w:eastAsia="Arial" w:hAnsi="Arial"/>
          <w:b w:val="1"/>
          <w:bCs w:val="1"/>
          <w:color w:val="242424"/>
          <w:sz w:val="24"/>
          <w:szCs w:val="24"/>
        </w:rPr>
        <w:t xml:space="preserve">Revisões do Plano de Gerenciamento de Riscos:</w:t>
      </w: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 em cada marco do projeto: Entrega 2, em 06/11/2026, e Apresentação na Semana FECAP de Tecnologia, de 17 a 24/11/2026.</w:t>
      </w:r>
    </w:p>
    <w:p>
      <w:pPr>
        <w:pStyle w:val="Heading1"/>
        <w:keepNext w:val="1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6b24"/>
          <w:sz w:val="24"/>
          <w:szCs w:val="24"/>
        </w:rPr>
        <w:t xml:space="preserve">5 CATEGORIAS DE RISCOS</w:t>
      </w:r>
    </w:p>
    <w:p>
      <w:pPr>
        <w:spacing w:after="120" w:line="360" w:lineRule="auto"/>
        <w:ind w:firstLine="709"/>
        <w:jc w:val="both"/>
        <w:rPr/>
      </w:pP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Os riscos serão categorizados da seguinte forma para facilitar a identificação e análise:</w:t>
      </w:r>
    </w:p>
    <w:p>
      <w:pPr>
        <w:spacing w:after="60" w:line="324" w:lineRule="auto"/>
        <w:ind w:left="369" w:hanging="198"/>
        <w:jc w:val="both"/>
        <w:rPr/>
      </w:pP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• </w:t>
      </w:r>
      <w:r>
        <w:rPr>
          <w:rFonts w:ascii="Arial" w:cs="Arial" w:eastAsia="Arial" w:hAnsi="Arial"/>
          <w:b w:val="1"/>
          <w:bCs w:val="1"/>
          <w:color w:val="242424"/>
          <w:sz w:val="24"/>
          <w:szCs w:val="24"/>
        </w:rPr>
        <w:t xml:space="preserve">Técnicos:</w:t>
      </w: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 relacionados à tecnologia, requisitos, complexidade, interface, desempenho e qualidade. No Smash, abrangem comunicação HTTP e WebSocket, autenticação, credenciais, validação de dados, dependências, firmware do ESP32 e detecção física dos impactos (R01 a R14).</w:t>
      </w:r>
    </w:p>
    <w:p>
      <w:pPr>
        <w:spacing w:after="60" w:line="324" w:lineRule="auto"/>
        <w:ind w:left="369" w:hanging="198"/>
        <w:jc w:val="both"/>
        <w:rPr/>
      </w:pP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• </w:t>
      </w:r>
      <w:r>
        <w:rPr>
          <w:rFonts w:ascii="Arial" w:cs="Arial" w:eastAsia="Arial" w:hAnsi="Arial"/>
          <w:b w:val="1"/>
          <w:bCs w:val="1"/>
          <w:color w:val="242424"/>
          <w:sz w:val="24"/>
          <w:szCs w:val="24"/>
        </w:rPr>
        <w:t xml:space="preserve">Gerenciais:</w:t>
      </w: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 relacionados ao planejamento, comunicação, recursos e controle. No Smash, o tempo disponível para implementar as respostas até a Entrega 2, em paralelo às demais disciplinas do Projeto Interdisciplinar (R15).</w:t>
      </w:r>
    </w:p>
    <w:p>
      <w:pPr>
        <w:spacing w:after="60" w:line="324" w:lineRule="auto"/>
        <w:ind w:left="369" w:hanging="198"/>
        <w:jc w:val="both"/>
        <w:rPr/>
      </w:pP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• </w:t>
      </w:r>
      <w:r>
        <w:rPr>
          <w:rFonts w:ascii="Arial" w:cs="Arial" w:eastAsia="Arial" w:hAnsi="Arial"/>
          <w:b w:val="1"/>
          <w:bCs w:val="1"/>
          <w:color w:val="242424"/>
          <w:sz w:val="24"/>
          <w:szCs w:val="24"/>
        </w:rPr>
        <w:t xml:space="preserve">Organizacionais:</w:t>
      </w: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 relacionados às políticas da instituição, critérios de avaliação e dependências entre entregas. No Smash, a alteração de critérios, datas ou formatos de entrega e o tratamento de dados pessoais conforme a LGPD (R16 e R17).</w:t>
      </w:r>
    </w:p>
    <w:p>
      <w:pPr>
        <w:spacing w:after="60" w:line="324" w:lineRule="auto"/>
        <w:ind w:left="369" w:hanging="198"/>
        <w:jc w:val="both"/>
        <w:rPr/>
      </w:pP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• </w:t>
      </w:r>
      <w:r>
        <w:rPr>
          <w:rFonts w:ascii="Arial" w:cs="Arial" w:eastAsia="Arial" w:hAnsi="Arial"/>
          <w:b w:val="1"/>
          <w:bCs w:val="1"/>
          <w:color w:val="242424"/>
          <w:sz w:val="24"/>
          <w:szCs w:val="24"/>
        </w:rPr>
        <w:t xml:space="preserve">Externos:</w:t>
      </w: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 relacionados a fornecedores, ambiente e fatores fora do controle da equipe. No Smash, a falha da única placa ESP32 disponível e a rede do local de demonstração (R18 e R19).</w:t>
      </w:r>
    </w:p>
    <w:p>
      <w:pPr>
        <w:pStyle w:val="Heading1"/>
        <w:keepNext w:val="1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6b24"/>
          <w:sz w:val="24"/>
          <w:szCs w:val="24"/>
        </w:rPr>
        <w:t xml:space="preserve">6 DEFINIÇÕES DE PROBABILIDADE E IMPACTO</w:t>
      </w:r>
    </w:p>
    <w:p>
      <w:pPr>
        <w:spacing w:after="120" w:line="360" w:lineRule="auto"/>
        <w:ind w:firstLine="709"/>
        <w:jc w:val="both"/>
        <w:rPr/>
      </w:pP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As escalas seguem os cinco níveis do modelo. Como o Smash não possui orçamento relevante, o impacto não é medido em aumento de custo, e sim no efeito sobre a segurança do sistema e sobre as entregas. A coluna "Critério no Smash" traduz cada nível para a forma como um risco pode ser explorado ou se materializar neste projeto.</w:t>
      </w:r>
    </w:p>
    <w:p>
      <w:pPr>
        <w:keepNext w:val="1"/>
        <w:spacing w:after="60" w:before="80" w:lineRule="auto"/>
        <w:rPr/>
      </w:pPr>
      <w:r>
        <w:rPr>
          <w:rFonts w:ascii="Arial" w:cs="Arial" w:eastAsia="Arial" w:hAnsi="Arial"/>
          <w:b w:val="0"/>
          <w:bCs w:val="0"/>
          <w:color w:val="595959"/>
          <w:sz w:val="19"/>
          <w:szCs w:val="19"/>
        </w:rPr>
        <w:t xml:space="preserve">Quadro 3 - Definições de probabilidade.</w:t>
      </w:r>
    </w:p>
    <w:tbl>
      <w:tblPr>
        <w:tblStyle w:val="Table2"/>
        <w:tblW w:w="9072" w:type="dxa"/>
        <w:jc w:val="center"/>
        <w:tblBorders>
          <w:top w:color="70ad47" w:space="0" w:sz="6" w:val="single"/>
          <w:left w:color="70ad47" w:space="0" w:sz="6" w:val="single"/>
          <w:bottom w:color="70ad47" w:space="0" w:sz="6" w:val="single"/>
          <w:right w:color="70ad47" w:space="0" w:sz="6" w:val="single"/>
          <w:insideH w:color="70ad47" w:space="0" w:sz="6" w:val="single"/>
          <w:insideV w:color="70ad47" w:space="0" w:sz="6" w:val="single"/>
        </w:tblBorders>
        <w:tblLayout w:type="fixed"/>
        <w:tblLook w:val="0400"/>
      </w:tblPr>
      <w:tblGrid>
        <w:gridCol w:w="1450"/>
        <w:gridCol w:w="1850"/>
        <w:gridCol w:w="4572"/>
        <w:gridCol w:w="1200"/>
      </w:tblGrid>
      <w:tr>
        <w:trPr>
          <w:cantSplit w:val="1"/>
          <w:tblHeader w:val="1"/>
        </w:trPr>
        <w:tc>
          <w:tcPr>
            <w:tcW w:w="1450" w:type="dxa"/>
            <w:shd w:fill="c6e0b4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9"/>
                <w:szCs w:val="19"/>
              </w:rPr>
              <w:t xml:space="preserve">Nível</w:t>
            </w:r>
          </w:p>
        </w:tc>
        <w:tc>
          <w:tcPr>
            <w:tcW w:w="1850" w:type="dxa"/>
            <w:shd w:fill="c6e0b4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9"/>
                <w:szCs w:val="19"/>
              </w:rPr>
              <w:t xml:space="preserve">Descrição</w:t>
            </w:r>
          </w:p>
        </w:tc>
        <w:tc>
          <w:tcPr>
            <w:tcW w:w="4572" w:type="dxa"/>
            <w:shd w:fill="c6e0b4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9"/>
                <w:szCs w:val="19"/>
              </w:rPr>
              <w:t xml:space="preserve">Critério no Smash</w:t>
            </w:r>
          </w:p>
        </w:tc>
        <w:tc>
          <w:tcPr>
            <w:tcW w:w="1200" w:type="dxa"/>
            <w:shd w:fill="c6e0b4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9"/>
                <w:szCs w:val="19"/>
              </w:rPr>
              <w:t xml:space="preserve">Valor</w:t>
            </w:r>
          </w:p>
        </w:tc>
      </w:tr>
      <w:tr>
        <w:trPr>
          <w:cantSplit w:val="1"/>
        </w:trPr>
        <w:tc>
          <w:tcPr>
            <w:tcW w:w="145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Muito Alta</w:t>
            </w:r>
          </w:p>
        </w:tc>
        <w:tc>
          <w:tcPr>
            <w:tcW w:w="185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Quase certo de ocorrer</w:t>
            </w:r>
          </w:p>
        </w:tc>
        <w:tc>
          <w:tcPr>
            <w:tcW w:w="4572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A condição está presente e pode ser explorada sem preparo por qualquer pessoa próxima, ou a informação necessária já é pública.</w:t>
            </w:r>
          </w:p>
        </w:tc>
        <w:tc>
          <w:tcPr>
            <w:tcW w:w="12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&gt; 80%</w:t>
            </w:r>
          </w:p>
        </w:tc>
      </w:tr>
      <w:tr>
        <w:trPr>
          <w:cantSplit w:val="1"/>
        </w:trPr>
        <w:tc>
          <w:tcPr>
            <w:tcW w:w="1450" w:type="dxa"/>
            <w:shd w:fill="f1f7ea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Alta</w:t>
            </w:r>
          </w:p>
        </w:tc>
        <w:tc>
          <w:tcPr>
            <w:tcW w:w="1850" w:type="dxa"/>
            <w:shd w:fill="f1f7ea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Provável de ocorrer</w:t>
            </w:r>
          </w:p>
        </w:tc>
        <w:tc>
          <w:tcPr>
            <w:tcW w:w="4572" w:type="dxa"/>
            <w:shd w:fill="f1f7ea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Pode ser explorada com passos simples por alguém na mesma rede ou com um cliente modificado.</w:t>
            </w:r>
          </w:p>
        </w:tc>
        <w:tc>
          <w:tcPr>
            <w:tcW w:w="1200" w:type="dxa"/>
            <w:shd w:fill="f1f7ea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61% - 80%</w:t>
            </w:r>
          </w:p>
        </w:tc>
      </w:tr>
      <w:tr>
        <w:trPr>
          <w:cantSplit w:val="1"/>
        </w:trPr>
        <w:tc>
          <w:tcPr>
            <w:tcW w:w="145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Média</w:t>
            </w:r>
          </w:p>
        </w:tc>
        <w:tc>
          <w:tcPr>
            <w:tcW w:w="185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Pode ocorrer</w:t>
            </w:r>
          </w:p>
        </w:tc>
        <w:tc>
          <w:tcPr>
            <w:tcW w:w="4572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Exige a mesma rede e alguma preparação, ou depende de uma condição de uso ainda não confirmada.</w:t>
            </w:r>
          </w:p>
        </w:tc>
        <w:tc>
          <w:tcPr>
            <w:tcW w:w="12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41% - 60%</w:t>
            </w:r>
          </w:p>
        </w:tc>
      </w:tr>
      <w:tr>
        <w:trPr>
          <w:cantSplit w:val="1"/>
        </w:trPr>
        <w:tc>
          <w:tcPr>
            <w:tcW w:w="1450" w:type="dxa"/>
            <w:shd w:fill="f1f7ea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Baixa</w:t>
            </w:r>
          </w:p>
        </w:tc>
        <w:tc>
          <w:tcPr>
            <w:tcW w:w="1850" w:type="dxa"/>
            <w:shd w:fill="f1f7ea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Improvável de ocorrer</w:t>
            </w:r>
          </w:p>
        </w:tc>
        <w:tc>
          <w:tcPr>
            <w:tcW w:w="4572" w:type="dxa"/>
            <w:shd w:fill="f1f7ea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Exige acesso físico, conhecimento específico ou uma combinação pouco provável de fatores.</w:t>
            </w:r>
          </w:p>
        </w:tc>
        <w:tc>
          <w:tcPr>
            <w:tcW w:w="1200" w:type="dxa"/>
            <w:shd w:fill="f1f7ea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21% - 40%</w:t>
            </w:r>
          </w:p>
        </w:tc>
      </w:tr>
      <w:tr>
        <w:trPr>
          <w:cantSplit w:val="1"/>
        </w:trPr>
        <w:tc>
          <w:tcPr>
            <w:tcW w:w="1450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Muito Baixa</w:t>
            </w:r>
          </w:p>
        </w:tc>
        <w:tc>
          <w:tcPr>
            <w:tcW w:w="1850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Muito improvável de ocorrer</w:t>
            </w:r>
          </w:p>
        </w:tc>
        <w:tc>
          <w:tcPr>
            <w:tcW w:w="4572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Improvável no contexto acadêmico e de demonstração atual.</w:t>
            </w:r>
          </w:p>
        </w:tc>
        <w:tc>
          <w:tcPr>
            <w:tcW w:w="1200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&lt; 20%</w:t>
            </w:r>
          </w:p>
        </w:tc>
      </w:tr>
    </w:tbl>
    <w:p>
      <w:pPr>
        <w:spacing w:after="60" w:lineRule="auto"/>
        <w:rPr/>
      </w:pPr>
    </w:p>
    <w:p>
      <w:pPr>
        <w:keepNext w:val="1"/>
        <w:spacing w:after="60" w:before="80" w:lineRule="auto"/>
        <w:rPr/>
      </w:pPr>
      <w:r>
        <w:rPr>
          <w:rFonts w:ascii="Arial" w:cs="Arial" w:eastAsia="Arial" w:hAnsi="Arial"/>
          <w:b w:val="0"/>
          <w:bCs w:val="0"/>
          <w:color w:val="595959"/>
          <w:sz w:val="19"/>
          <w:szCs w:val="19"/>
        </w:rPr>
        <w:t xml:space="preserve">Quadro 4 - Definições de impacto.</w:t>
      </w:r>
    </w:p>
    <w:tbl>
      <w:tblPr>
        <w:tblStyle w:val="Table2"/>
        <w:tblW w:w="9072" w:type="dxa"/>
        <w:jc w:val="center"/>
        <w:tblBorders>
          <w:top w:color="70ad47" w:space="0" w:sz="6" w:val="single"/>
          <w:left w:color="70ad47" w:space="0" w:sz="6" w:val="single"/>
          <w:bottom w:color="70ad47" w:space="0" w:sz="6" w:val="single"/>
          <w:right w:color="70ad47" w:space="0" w:sz="6" w:val="single"/>
          <w:insideH w:color="70ad47" w:space="0" w:sz="6" w:val="single"/>
          <w:insideV w:color="70ad47" w:space="0" w:sz="6" w:val="single"/>
        </w:tblBorders>
        <w:tblLayout w:type="fixed"/>
        <w:tblLook w:val="0400"/>
      </w:tblPr>
      <w:tblGrid>
        <w:gridCol w:w="1450"/>
        <w:gridCol w:w="4572"/>
        <w:gridCol w:w="3050"/>
      </w:tblGrid>
      <w:tr>
        <w:trPr>
          <w:cantSplit w:val="1"/>
          <w:tblHeader w:val="1"/>
        </w:trPr>
        <w:tc>
          <w:tcPr>
            <w:tcW w:w="1450" w:type="dxa"/>
            <w:shd w:fill="c6e0b4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9"/>
                <w:szCs w:val="19"/>
              </w:rPr>
              <w:t xml:space="preserve">Nível</w:t>
            </w:r>
          </w:p>
        </w:tc>
        <w:tc>
          <w:tcPr>
            <w:tcW w:w="4572" w:type="dxa"/>
            <w:shd w:fill="c6e0b4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9"/>
                <w:szCs w:val="19"/>
              </w:rPr>
              <w:t xml:space="preserve">Efeito na segurança do sistema</w:t>
            </w:r>
          </w:p>
        </w:tc>
        <w:tc>
          <w:tcPr>
            <w:tcW w:w="3050" w:type="dxa"/>
            <w:shd w:fill="c6e0b4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9"/>
                <w:szCs w:val="19"/>
              </w:rPr>
              <w:t xml:space="preserve">Efeito nas entregas</w:t>
            </w:r>
          </w:p>
        </w:tc>
      </w:tr>
      <w:tr>
        <w:trPr>
          <w:cantSplit w:val="1"/>
        </w:trPr>
        <w:tc>
          <w:tcPr>
            <w:tcW w:w="145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Muito Alto</w:t>
            </w:r>
          </w:p>
        </w:tc>
        <w:tc>
          <w:tcPr>
            <w:tcW w:w="4572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Expõe credenciais, tokens ou dados de todos os usuários, ou permite alterar em larga escala os dados persistidos.</w:t>
            </w:r>
          </w:p>
        </w:tc>
        <w:tc>
          <w:tcPr>
            <w:tcW w:w="305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Inviabiliza a demonstração ou um entregável obrigatório.</w:t>
            </w:r>
          </w:p>
        </w:tc>
      </w:tr>
      <w:tr>
        <w:trPr>
          <w:cantSplit w:val="1"/>
        </w:trPr>
        <w:tc>
          <w:tcPr>
            <w:tcW w:w="1450" w:type="dxa"/>
            <w:shd w:fill="f1f7ea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Alto</w:t>
            </w:r>
          </w:p>
        </w:tc>
        <w:tc>
          <w:tcPr>
            <w:tcW w:w="4572" w:type="dxa"/>
            <w:shd w:fill="f1f7ea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Compromete a integridade de progressão, histórico ou eventos, expõe dados de um usuário ou derruba a parede ou a API durante o treino.</w:t>
            </w:r>
          </w:p>
        </w:tc>
        <w:tc>
          <w:tcPr>
            <w:tcW w:w="3050" w:type="dxa"/>
            <w:shd w:fill="f1f7ea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Atrasa uma entrega em mais de uma semana ou degrada um requisito obrigatório.</w:t>
            </w:r>
          </w:p>
        </w:tc>
      </w:tr>
      <w:tr>
        <w:trPr>
          <w:cantSplit w:val="1"/>
        </w:trPr>
        <w:tc>
          <w:tcPr>
            <w:tcW w:w="145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Médio</w:t>
            </w:r>
          </w:p>
        </w:tc>
        <w:tc>
          <w:tcPr>
            <w:tcW w:w="4572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Interrompe uma sessão, altera dados limitados ou amplia a superfície de ataque sem exposição direta.</w:t>
            </w:r>
          </w:p>
        </w:tc>
        <w:tc>
          <w:tcPr>
            <w:tcW w:w="305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Atrasa de três a sete dias ou exige corte de escopo secundário.</w:t>
            </w:r>
          </w:p>
        </w:tc>
      </w:tr>
      <w:tr>
        <w:trPr>
          <w:cantSplit w:val="1"/>
        </w:trPr>
        <w:tc>
          <w:tcPr>
            <w:tcW w:w="1450" w:type="dxa"/>
            <w:shd w:fill="f1f7ea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Baixo</w:t>
            </w:r>
          </w:p>
        </w:tc>
        <w:tc>
          <w:tcPr>
            <w:tcW w:w="4572" w:type="dxa"/>
            <w:shd w:fill="f1f7ea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Afeta uma função limitada, com recuperação simples.</w:t>
            </w:r>
          </w:p>
        </w:tc>
        <w:tc>
          <w:tcPr>
            <w:tcW w:w="3050" w:type="dxa"/>
            <w:shd w:fill="f1f7ea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Atraso de até dois dias, absorvido pelo cronograma.</w:t>
            </w:r>
          </w:p>
        </w:tc>
      </w:tr>
      <w:tr>
        <w:trPr>
          <w:cantSplit w:val="1"/>
        </w:trPr>
        <w:tc>
          <w:tcPr>
            <w:tcW w:w="1450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Muito Baixo</w:t>
            </w:r>
          </w:p>
        </w:tc>
        <w:tc>
          <w:tcPr>
            <w:tcW w:w="4572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Sem efeito perceptível na segurança.</w:t>
            </w:r>
          </w:p>
        </w:tc>
        <w:tc>
          <w:tcPr>
            <w:tcW w:w="3050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Sem efeito no cronograma ou nos entregáveis.</w:t>
            </w:r>
          </w:p>
        </w:tc>
      </w:tr>
    </w:tbl>
    <w:p>
      <w:pPr>
        <w:pStyle w:val="Heading1"/>
        <w:keepNext w:val="1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6b24"/>
          <w:sz w:val="24"/>
          <w:szCs w:val="24"/>
        </w:rPr>
        <w:t xml:space="preserve">7 MATRIZ DE PROBABILIDADE E IMPACTO</w:t>
      </w:r>
    </w:p>
    <w:p>
      <w:pPr>
        <w:spacing w:after="120" w:line="360" w:lineRule="auto"/>
        <w:ind w:firstLine="709"/>
        <w:jc w:val="both"/>
        <w:rPr/>
      </w:pP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Esta matriz será utilizada para priorizar os riscos. Cada célula mostra a severidade definida pelo modelo para o cruzamento de probabilidade e impacto e, abaixo dela, os riscos do Registro (Anexo A) que se enquadram naquela combinação.</w:t>
      </w:r>
    </w:p>
    <w:p>
      <w:pPr>
        <w:keepNext w:val="1"/>
        <w:spacing w:after="60" w:before="80" w:lineRule="auto"/>
        <w:rPr/>
      </w:pPr>
      <w:r>
        <w:rPr>
          <w:rFonts w:ascii="Arial" w:cs="Arial" w:eastAsia="Arial" w:hAnsi="Arial"/>
          <w:b w:val="0"/>
          <w:bCs w:val="0"/>
          <w:color w:val="595959"/>
          <w:sz w:val="19"/>
          <w:szCs w:val="19"/>
        </w:rPr>
        <w:t xml:space="preserve">Quadro 5 - Matriz de probabilidade e impacto com os riscos do Smash.</w:t>
      </w:r>
    </w:p>
    <w:tbl>
      <w:tblPr>
        <w:tblStyle w:val="Table2"/>
        <w:tblW w:w="9072" w:type="dxa"/>
        <w:jc w:val="center"/>
        <w:tblBorders>
          <w:top w:color="70ad47" w:space="0" w:sz="6" w:val="single"/>
          <w:left w:color="70ad47" w:space="0" w:sz="6" w:val="single"/>
          <w:bottom w:color="70ad47" w:space="0" w:sz="6" w:val="single"/>
          <w:right w:color="70ad47" w:space="0" w:sz="6" w:val="single"/>
          <w:insideH w:color="70ad47" w:space="0" w:sz="6" w:val="single"/>
          <w:insideV w:color="70ad47" w:space="0" w:sz="6" w:val="single"/>
        </w:tblBorders>
        <w:tblLayout w:type="fixed"/>
        <w:tblLook w:val="0400"/>
      </w:tblPr>
      <w:tblGrid>
        <w:gridCol w:w="1872"/>
        <w:gridCol w:w="1440"/>
        <w:gridCol w:w="1440"/>
        <w:gridCol w:w="1440"/>
        <w:gridCol w:w="1440"/>
        <w:gridCol w:w="1440"/>
      </w:tblGrid>
      <w:tr>
        <w:trPr>
          <w:cantSplit w:val="1"/>
          <w:tblHeader w:val="1"/>
        </w:trPr>
        <w:tc>
          <w:tcPr>
            <w:tcW w:w="1872" w:type="dxa"/>
            <w:shd w:fill="c6e0b4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9"/>
                <w:szCs w:val="19"/>
              </w:rPr>
              <w:t xml:space="preserve">Probabilidade \ Impacto</w:t>
            </w:r>
          </w:p>
        </w:tc>
        <w:tc>
          <w:tcPr>
            <w:tcW w:w="1440" w:type="dxa"/>
            <w:shd w:fill="c6e0b4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9"/>
                <w:szCs w:val="19"/>
              </w:rPr>
              <w:t xml:space="preserve">Muito Baixo</w:t>
            </w:r>
          </w:p>
        </w:tc>
        <w:tc>
          <w:tcPr>
            <w:tcW w:w="1440" w:type="dxa"/>
            <w:shd w:fill="c6e0b4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9"/>
                <w:szCs w:val="19"/>
              </w:rPr>
              <w:t xml:space="preserve">Baixo</w:t>
            </w:r>
          </w:p>
        </w:tc>
        <w:tc>
          <w:tcPr>
            <w:tcW w:w="1440" w:type="dxa"/>
            <w:shd w:fill="c6e0b4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9"/>
                <w:szCs w:val="19"/>
              </w:rPr>
              <w:t xml:space="preserve">Médio</w:t>
            </w:r>
          </w:p>
        </w:tc>
        <w:tc>
          <w:tcPr>
            <w:tcW w:w="1440" w:type="dxa"/>
            <w:shd w:fill="c6e0b4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9"/>
                <w:szCs w:val="19"/>
              </w:rPr>
              <w:t xml:space="preserve">Alto</w:t>
            </w:r>
          </w:p>
        </w:tc>
        <w:tc>
          <w:tcPr>
            <w:tcW w:w="1440" w:type="dxa"/>
            <w:shd w:fill="c6e0b4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9"/>
                <w:szCs w:val="19"/>
              </w:rPr>
              <w:t xml:space="preserve">Muito Alto</w:t>
            </w:r>
          </w:p>
        </w:tc>
      </w:tr>
      <w:tr>
        <w:trPr>
          <w:cantSplit w:val="1"/>
        </w:trPr>
        <w:tc>
          <w:tcPr>
            <w:tcW w:w="1872" w:type="dxa"/>
            <w:shd w:fill="c6e0b4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9"/>
                <w:szCs w:val="19"/>
              </w:rPr>
              <w:t xml:space="preserve">Muito Alta</w:t>
            </w:r>
          </w:p>
        </w:tc>
        <w:tc>
          <w:tcPr>
            <w:tcW w:w="1440" w:type="dxa"/>
            <w:shd w:fill="fdefb2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Médio</w:t>
            </w:r>
          </w:p>
        </w:tc>
        <w:tc>
          <w:tcPr>
            <w:tcW w:w="1440" w:type="dxa"/>
            <w:shd w:fill="fbd5a5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Alto</w:t>
            </w:r>
          </w:p>
        </w:tc>
        <w:tc>
          <w:tcPr>
            <w:tcW w:w="1440" w:type="dxa"/>
            <w:shd w:fill="fbd5a5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Alto</w:t>
            </w:r>
          </w:p>
        </w:tc>
        <w:tc>
          <w:tcPr>
            <w:tcW w:w="1440" w:type="dxa"/>
            <w:shd w:fill="f8b4a6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Extremo</w:t>
            </w:r>
          </w:p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R02, R03</w:t>
            </w:r>
          </w:p>
        </w:tc>
        <w:tc>
          <w:tcPr>
            <w:tcW w:w="1440" w:type="dxa"/>
            <w:shd w:fill="f8b4a6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Extremo</w:t>
            </w:r>
          </w:p>
        </w:tc>
      </w:tr>
      <w:tr>
        <w:trPr>
          <w:cantSplit w:val="1"/>
        </w:trPr>
        <w:tc>
          <w:tcPr>
            <w:tcW w:w="1872" w:type="dxa"/>
            <w:shd w:fill="c6e0b4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9"/>
                <w:szCs w:val="19"/>
              </w:rPr>
              <w:t xml:space="preserve">Alta</w:t>
            </w:r>
          </w:p>
        </w:tc>
        <w:tc>
          <w:tcPr>
            <w:tcW w:w="1440" w:type="dxa"/>
            <w:shd w:fill="d9ead3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Baixo</w:t>
            </w:r>
          </w:p>
        </w:tc>
        <w:tc>
          <w:tcPr>
            <w:tcW w:w="1440" w:type="dxa"/>
            <w:shd w:fill="fdefb2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Médio</w:t>
            </w:r>
          </w:p>
        </w:tc>
        <w:tc>
          <w:tcPr>
            <w:tcW w:w="1440" w:type="dxa"/>
            <w:shd w:fill="fbd5a5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Alto</w:t>
            </w:r>
          </w:p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R05, R06</w:t>
            </w:r>
          </w:p>
        </w:tc>
        <w:tc>
          <w:tcPr>
            <w:tcW w:w="1440" w:type="dxa"/>
            <w:shd w:fill="fbd5a5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Alto</w:t>
            </w:r>
          </w:p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R04, R15</w:t>
            </w:r>
          </w:p>
        </w:tc>
        <w:tc>
          <w:tcPr>
            <w:tcW w:w="1440" w:type="dxa"/>
            <w:shd w:fill="f8b4a6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Extremo</w:t>
            </w:r>
          </w:p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R01</w:t>
            </w:r>
          </w:p>
        </w:tc>
      </w:tr>
      <w:tr>
        <w:trPr>
          <w:cantSplit w:val="1"/>
        </w:trPr>
        <w:tc>
          <w:tcPr>
            <w:tcW w:w="1872" w:type="dxa"/>
            <w:shd w:fill="c6e0b4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9"/>
                <w:szCs w:val="19"/>
              </w:rPr>
              <w:t xml:space="preserve">Média</w:t>
            </w:r>
          </w:p>
        </w:tc>
        <w:tc>
          <w:tcPr>
            <w:tcW w:w="1440" w:type="dxa"/>
            <w:shd w:fill="d9ead3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Baixo</w:t>
            </w:r>
          </w:p>
        </w:tc>
        <w:tc>
          <w:tcPr>
            <w:tcW w:w="1440" w:type="dxa"/>
            <w:shd w:fill="fdefb2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Médio</w:t>
            </w:r>
          </w:p>
        </w:tc>
        <w:tc>
          <w:tcPr>
            <w:tcW w:w="1440" w:type="dxa"/>
            <w:shd w:fill="fdefb2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Médio</w:t>
            </w:r>
          </w:p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R08, R10, R12, R16, R19</w:t>
            </w:r>
          </w:p>
        </w:tc>
        <w:tc>
          <w:tcPr>
            <w:tcW w:w="1440" w:type="dxa"/>
            <w:shd w:fill="fbd5a5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Alto</w:t>
            </w:r>
          </w:p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R07, R11, R13, R14, R17</w:t>
            </w:r>
          </w:p>
        </w:tc>
        <w:tc>
          <w:tcPr>
            <w:tcW w:w="1440" w:type="dxa"/>
            <w:shd w:fill="fbd5a5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Alto</w:t>
            </w:r>
          </w:p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R09</w:t>
            </w:r>
          </w:p>
        </w:tc>
      </w:tr>
      <w:tr>
        <w:trPr>
          <w:cantSplit w:val="1"/>
        </w:trPr>
        <w:tc>
          <w:tcPr>
            <w:tcW w:w="1872" w:type="dxa"/>
            <w:shd w:fill="c6e0b4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9"/>
                <w:szCs w:val="19"/>
              </w:rPr>
              <w:t xml:space="preserve">Baixa</w:t>
            </w:r>
          </w:p>
        </w:tc>
        <w:tc>
          <w:tcPr>
            <w:tcW w:w="1440" w:type="dxa"/>
            <w:shd w:fill="eaf5e4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Muito Baixo</w:t>
            </w:r>
          </w:p>
        </w:tc>
        <w:tc>
          <w:tcPr>
            <w:tcW w:w="1440" w:type="dxa"/>
            <w:shd w:fill="d9ead3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Baixo</w:t>
            </w:r>
          </w:p>
        </w:tc>
        <w:tc>
          <w:tcPr>
            <w:tcW w:w="1440" w:type="dxa"/>
            <w:shd w:fill="d9ead3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Baixo</w:t>
            </w:r>
          </w:p>
        </w:tc>
        <w:tc>
          <w:tcPr>
            <w:tcW w:w="1440" w:type="dxa"/>
            <w:shd w:fill="fdefb2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Médio</w:t>
            </w:r>
          </w:p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R18</w:t>
            </w:r>
          </w:p>
        </w:tc>
        <w:tc>
          <w:tcPr>
            <w:tcW w:w="1440" w:type="dxa"/>
            <w:shd w:fill="fdefb2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Médio</w:t>
            </w:r>
          </w:p>
        </w:tc>
      </w:tr>
      <w:tr>
        <w:trPr>
          <w:cantSplit w:val="1"/>
        </w:trPr>
        <w:tc>
          <w:tcPr>
            <w:tcW w:w="1872" w:type="dxa"/>
            <w:shd w:fill="c6e0b4" w:val="clear"/>
            <w:tcMar>
              <w:top w:w="80" w:type="dxa"/>
              <w:bottom w:w="8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9"/>
                <w:szCs w:val="19"/>
              </w:rPr>
              <w:t xml:space="preserve">Muito Baixa</w:t>
            </w:r>
          </w:p>
        </w:tc>
        <w:tc>
          <w:tcPr>
            <w:tcW w:w="1440" w:type="dxa"/>
            <w:shd w:fill="eaf5e4" w:val="clear"/>
            <w:tcMar>
              <w:top w:w="80" w:type="dxa"/>
              <w:bottom w:w="8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Muito Baixo</w:t>
            </w:r>
          </w:p>
        </w:tc>
        <w:tc>
          <w:tcPr>
            <w:tcW w:w="1440" w:type="dxa"/>
            <w:shd w:fill="eaf5e4" w:val="clear"/>
            <w:tcMar>
              <w:top w:w="80" w:type="dxa"/>
              <w:bottom w:w="8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Muito Baixo</w:t>
            </w:r>
          </w:p>
        </w:tc>
        <w:tc>
          <w:tcPr>
            <w:tcW w:w="1440" w:type="dxa"/>
            <w:shd w:fill="d9ead3" w:val="clear"/>
            <w:tcMar>
              <w:top w:w="80" w:type="dxa"/>
              <w:bottom w:w="8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Baixo</w:t>
            </w:r>
          </w:p>
        </w:tc>
        <w:tc>
          <w:tcPr>
            <w:tcW w:w="1440" w:type="dxa"/>
            <w:shd w:fill="d9ead3" w:val="clear"/>
            <w:tcMar>
              <w:top w:w="80" w:type="dxa"/>
              <w:bottom w:w="8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Baixo</w:t>
            </w:r>
          </w:p>
        </w:tc>
        <w:tc>
          <w:tcPr>
            <w:tcW w:w="1440" w:type="dxa"/>
            <w:shd w:fill="fdefb2" w:val="clear"/>
            <w:tcMar>
              <w:top w:w="80" w:type="dxa"/>
              <w:bottom w:w="8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9"/>
                <w:szCs w:val="19"/>
              </w:rPr>
              <w:t xml:space="preserve">Médio</w:t>
            </w:r>
          </w:p>
        </w:tc>
      </w:tr>
    </w:tbl>
    <w:p>
      <w:pPr>
        <w:spacing w:after="60" w:lineRule="auto"/>
        <w:rPr/>
      </w:pPr>
    </w:p>
    <w:p>
      <w:pPr>
        <w:spacing w:after="60" w:line="324" w:lineRule="auto"/>
        <w:ind w:left="369" w:hanging="198"/>
        <w:jc w:val="both"/>
        <w:rPr/>
      </w:pP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• </w:t>
      </w:r>
      <w:r>
        <w:rPr>
          <w:rFonts w:ascii="Arial" w:cs="Arial" w:eastAsia="Arial" w:hAnsi="Arial"/>
          <w:b w:val="1"/>
          <w:bCs w:val="1"/>
          <w:color w:val="242424"/>
          <w:sz w:val="24"/>
          <w:szCs w:val="24"/>
        </w:rPr>
        <w:t xml:space="preserve">Extremo/Alto:</w:t>
      </w: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 requerem atenção imediata e um plano de resposta detalhado. São 13 dos 19 riscos: R01, R02 e R03 em Extremo e 10 em Alto.</w:t>
      </w:r>
    </w:p>
    <w:p>
      <w:pPr>
        <w:spacing w:after="60" w:line="324" w:lineRule="auto"/>
        <w:ind w:left="369" w:hanging="198"/>
        <w:jc w:val="both"/>
        <w:rPr/>
      </w:pP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• </w:t>
      </w:r>
      <w:r>
        <w:rPr>
          <w:rFonts w:ascii="Arial" w:cs="Arial" w:eastAsia="Arial" w:hAnsi="Arial"/>
          <w:b w:val="1"/>
          <w:bCs w:val="1"/>
          <w:color w:val="242424"/>
          <w:sz w:val="24"/>
          <w:szCs w:val="24"/>
        </w:rPr>
        <w:t xml:space="preserve">Médio:</w:t>
      </w: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 devem ser monitorados de perto. São 6 riscos: R08, R10, R12, R16, R18 e R19.</w:t>
      </w:r>
    </w:p>
    <w:p>
      <w:pPr>
        <w:spacing w:after="60" w:line="324" w:lineRule="auto"/>
        <w:ind w:left="369" w:hanging="198"/>
        <w:jc w:val="both"/>
        <w:rPr/>
      </w:pP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• </w:t>
      </w:r>
      <w:r>
        <w:rPr>
          <w:rFonts w:ascii="Arial" w:cs="Arial" w:eastAsia="Arial" w:hAnsi="Arial"/>
          <w:b w:val="1"/>
          <w:bCs w:val="1"/>
          <w:color w:val="242424"/>
          <w:sz w:val="24"/>
          <w:szCs w:val="24"/>
        </w:rPr>
        <w:t xml:space="preserve">Baixo/Muito Baixo:</w:t>
      </w: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 serão monitorados como parte das atividades de rotina do projeto. Nenhum risco do registro atual se enquadra nesses níveis.</w:t>
      </w:r>
    </w:p>
    <w:p>
      <w:pPr>
        <w:pStyle w:val="Heading1"/>
        <w:keepNext w:val="1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6b24"/>
          <w:sz w:val="24"/>
          <w:szCs w:val="24"/>
        </w:rPr>
        <w:t xml:space="preserve">8 TOLERÂNCIA AO RISCO DAS PARTES INTERESSADAS</w:t>
      </w:r>
    </w:p>
    <w:p>
      <w:pPr>
        <w:spacing w:after="120" w:line="360" w:lineRule="auto"/>
        <w:ind w:firstLine="709"/>
        <w:jc w:val="both"/>
        <w:rPr/>
      </w:pP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A tolerância ao risco no Smash não é uniforme. Ela acompanha os requisitos não funcionais do Projeto Interdisciplinar, que exigem autenticação segura, comunicação cifrada, identificação do dispositivo, proteção contra o OWASP Top 10, minimização de dados e proteção reforçada de menores.</w:t>
      </w:r>
    </w:p>
    <w:p>
      <w:pPr>
        <w:spacing w:after="60" w:line="324" w:lineRule="auto"/>
        <w:ind w:left="369" w:hanging="198"/>
        <w:jc w:val="both"/>
        <w:rPr/>
      </w:pP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• </w:t>
      </w:r>
      <w:r>
        <w:rPr>
          <w:rFonts w:ascii="Arial" w:cs="Arial" w:eastAsia="Arial" w:hAnsi="Arial"/>
          <w:b w:val="1"/>
          <w:bCs w:val="1"/>
          <w:color w:val="242424"/>
          <w:sz w:val="24"/>
          <w:szCs w:val="24"/>
        </w:rPr>
        <w:t xml:space="preserve">Baixa tolerância:</w:t>
      </w: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 exposição de credenciais, tokens e dados pessoais; alteração indevida de progressão, histórico ou eventos de impacto; e acesso não autorizado à parede durante o treino. Riscos nessa faixa não podem ser aceitos sem resposta.</w:t>
      </w:r>
    </w:p>
    <w:p>
      <w:pPr>
        <w:spacing w:after="60" w:line="324" w:lineRule="auto"/>
        <w:ind w:left="369" w:hanging="198"/>
        <w:jc w:val="both"/>
        <w:rPr/>
      </w:pP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• </w:t>
      </w:r>
      <w:r>
        <w:rPr>
          <w:rFonts w:ascii="Arial" w:cs="Arial" w:eastAsia="Arial" w:hAnsi="Arial"/>
          <w:b w:val="1"/>
          <w:bCs w:val="1"/>
          <w:color w:val="242424"/>
          <w:sz w:val="24"/>
          <w:szCs w:val="24"/>
        </w:rPr>
        <w:t xml:space="preserve">Tolerância moderada:</w:t>
      </w: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 indisponibilidade temporária da parede ou da API em ambiente de laboratório, desde que a falha seja percebida e a sessão não registre dados incorretos.</w:t>
      </w:r>
    </w:p>
    <w:p>
      <w:pPr>
        <w:spacing w:after="60" w:line="324" w:lineRule="auto"/>
        <w:ind w:left="369" w:hanging="198"/>
        <w:jc w:val="both"/>
        <w:rPr/>
      </w:pP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• </w:t>
      </w:r>
      <w:r>
        <w:rPr>
          <w:rFonts w:ascii="Arial" w:cs="Arial" w:eastAsia="Arial" w:hAnsi="Arial"/>
          <w:b w:val="1"/>
          <w:bCs w:val="1"/>
          <w:color w:val="242424"/>
          <w:sz w:val="24"/>
          <w:szCs w:val="24"/>
        </w:rPr>
        <w:t xml:space="preserve">Alta tolerância:</w:t>
      </w: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 adiamento de funcionalidades ainda não implementadas, como a integração MQTT e o dashboard web, desde que os controles de segurança sejam definidos antes da implementação.</w:t>
      </w:r>
    </w:p>
    <w:p>
      <w:pPr>
        <w:spacing w:after="60" w:line="324" w:lineRule="auto"/>
        <w:ind w:left="369" w:hanging="198"/>
        <w:jc w:val="both"/>
        <w:rPr/>
      </w:pP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• </w:t>
      </w:r>
      <w:r>
        <w:rPr>
          <w:rFonts w:ascii="Arial" w:cs="Arial" w:eastAsia="Arial" w:hAnsi="Arial"/>
          <w:b w:val="1"/>
          <w:bCs w:val="1"/>
          <w:color w:val="242424"/>
          <w:sz w:val="24"/>
          <w:szCs w:val="24"/>
        </w:rPr>
        <w:t xml:space="preserve">Consequência prática:</w:t>
      </w: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 diante de conflito entre prazo e escopo, a equipe corta funcionalidades secundárias e preserva as respostas aos riscos Extremos e aos riscos da faixa de baixa tolerância.</w:t>
      </w:r>
    </w:p>
    <w:p>
      <w:pPr>
        <w:pStyle w:val="Heading1"/>
        <w:keepNext w:val="1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6b24"/>
          <w:sz w:val="24"/>
          <w:szCs w:val="24"/>
        </w:rPr>
        <w:t xml:space="preserve">9 FORMATOS DE RELATÓRIOS</w:t>
      </w:r>
    </w:p>
    <w:p>
      <w:pPr>
        <w:spacing w:after="60" w:line="324" w:lineRule="auto"/>
        <w:ind w:left="369" w:hanging="198"/>
        <w:jc w:val="both"/>
        <w:rPr/>
      </w:pP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• </w:t>
      </w:r>
      <w:r>
        <w:rPr>
          <w:rFonts w:ascii="Arial" w:cs="Arial" w:eastAsia="Arial" w:hAnsi="Arial"/>
          <w:b w:val="1"/>
          <w:bCs w:val="1"/>
          <w:color w:val="242424"/>
          <w:sz w:val="24"/>
          <w:szCs w:val="24"/>
        </w:rPr>
        <w:t xml:space="preserve">Registro de Riscos:</w:t>
      </w: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 mantido no Anexo A deste documento e versionado no repositório, na pasta </w:t>
      </w:r>
      <w:r>
        <w:rPr>
          <w:rFonts w:ascii="Arial" w:cs="Arial" w:eastAsia="Arial" w:hAnsi="Arial"/>
          <w:b w:val="0"/>
          <w:bCs w:val="0"/>
          <w:i w:val="1"/>
          <w:iCs w:val="1"/>
          <w:color w:val="2f6b24"/>
          <w:sz w:val="24"/>
          <w:szCs w:val="24"/>
        </w:rPr>
        <w:t xml:space="preserve">documentos/</w:t>
      </w: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, junto com o código. Cada risco registra identificador, descrição, categoria, probabilidade, impacto, severidade, estratégia, ação, responsável, prazo e status.</w:t>
      </w:r>
    </w:p>
    <w:p>
      <w:pPr>
        <w:spacing w:after="60" w:line="324" w:lineRule="auto"/>
        <w:ind w:left="369" w:hanging="198"/>
        <w:jc w:val="both"/>
        <w:rPr/>
      </w:pP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• </w:t>
      </w:r>
      <w:r>
        <w:rPr>
          <w:rFonts w:ascii="Arial" w:cs="Arial" w:eastAsia="Arial" w:hAnsi="Arial"/>
          <w:b w:val="1"/>
          <w:bCs w:val="1"/>
          <w:color w:val="242424"/>
          <w:sz w:val="24"/>
          <w:szCs w:val="24"/>
        </w:rPr>
        <w:t xml:space="preserve">Relatório de Status dos Riscos:</w:t>
      </w: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 incluído nos relatórios de cada entrega, apresentando os riscos Extremos e Altos, o status de suas respostas, os riscos materializados e os novos riscos identificados.</w:t>
      </w:r>
    </w:p>
    <w:p>
      <w:pPr>
        <w:spacing w:after="60" w:line="324" w:lineRule="auto"/>
        <w:ind w:left="369" w:hanging="198"/>
        <w:jc w:val="both"/>
        <w:rPr/>
      </w:pP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• </w:t>
      </w:r>
      <w:r>
        <w:rPr>
          <w:rFonts w:ascii="Arial" w:cs="Arial" w:eastAsia="Arial" w:hAnsi="Arial"/>
          <w:b w:val="1"/>
          <w:bCs w:val="1"/>
          <w:color w:val="242424"/>
          <w:sz w:val="24"/>
          <w:szCs w:val="24"/>
        </w:rPr>
        <w:t xml:space="preserve">Evidências:</w:t>
      </w: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 cada resposta concluída é associada ao commit que a implementa, e a verificação de dependências com npm audit é repetida e registrada a cada entrega.</w:t>
      </w:r>
    </w:p>
    <w:p>
      <w:pPr>
        <w:pStyle w:val="Heading1"/>
        <w:keepNext w:val="1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6b24"/>
          <w:sz w:val="24"/>
          <w:szCs w:val="24"/>
        </w:rPr>
        <w:t xml:space="preserve">10 ACOMPANHAMENTO</w:t>
      </w:r>
    </w:p>
    <w:p>
      <w:pPr>
        <w:spacing w:after="120" w:line="360" w:lineRule="auto"/>
        <w:ind w:firstLine="709"/>
        <w:jc w:val="both"/>
        <w:rPr/>
      </w:pP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O processo de gerenciamento de riscos será revisado em cada marco importante do projeto para garantir sua eficácia e para incorporar as lições aprendidas. O Registro de Riscos será um documento vivo e será atualizado continuamente.</w:t>
      </w:r>
    </w:p>
    <w:p>
      <w:pPr>
        <w:spacing w:after="120" w:line="360" w:lineRule="auto"/>
        <w:ind w:firstLine="709"/>
        <w:jc w:val="both"/>
        <w:rPr/>
      </w:pP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Na próxima revisão, as respostas aos riscos Extremos (R01, R02 e R03) devem estar implementadas no código e verificadas, em linha com a Entrega 2 da disciplina, que trata da mitigação aplicada ao sistema.</w:t>
      </w:r>
    </w:p>
    <w:p>
      <w:pPr>
        <w:pStyle w:val="Heading1"/>
        <w:keepNext w:val="1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6b24"/>
          <w:sz w:val="24"/>
          <w:szCs w:val="24"/>
        </w:rPr>
        <w:t xml:space="preserve">APROVAÇÃO</w:t>
      </w:r>
    </w:p>
    <w:p>
      <w:pPr>
        <w:keepNext w:val="1"/>
        <w:spacing w:after="60" w:before="80" w:lineRule="auto"/>
        <w:rPr/>
      </w:pPr>
      <w:r>
        <w:rPr>
          <w:rFonts w:ascii="Arial" w:cs="Arial" w:eastAsia="Arial" w:hAnsi="Arial"/>
          <w:b w:val="0"/>
          <w:bCs w:val="0"/>
          <w:color w:val="595959"/>
          <w:sz w:val="19"/>
          <w:szCs w:val="19"/>
        </w:rPr>
        <w:t xml:space="preserve">Quadro 6 - Aprovação do plano.</w:t>
      </w:r>
    </w:p>
    <w:tbl>
      <w:tblPr>
        <w:tblStyle w:val="Table2"/>
        <w:tblW w:w="9072" w:type="dxa"/>
        <w:jc w:val="center"/>
        <w:tblBorders>
          <w:top w:color="70ad47" w:space="0" w:sz="6" w:val="single"/>
          <w:left w:color="70ad47" w:space="0" w:sz="6" w:val="single"/>
          <w:bottom w:color="70ad47" w:space="0" w:sz="6" w:val="single"/>
          <w:right w:color="70ad47" w:space="0" w:sz="6" w:val="single"/>
          <w:insideH w:color="70ad47" w:space="0" w:sz="6" w:val="single"/>
          <w:insideV w:color="70ad47" w:space="0" w:sz="6" w:val="single"/>
        </w:tblBorders>
        <w:tblLayout w:type="fixed"/>
        <w:tblLook w:val="0400"/>
      </w:tblPr>
      <w:tblGrid>
        <w:gridCol w:w="2700"/>
        <w:gridCol w:w="2472"/>
        <w:gridCol w:w="2600"/>
        <w:gridCol w:w="1300"/>
      </w:tblGrid>
      <w:tr>
        <w:trPr>
          <w:cantSplit w:val="1"/>
          <w:tblHeader w:val="1"/>
        </w:trPr>
        <w:tc>
          <w:tcPr>
            <w:tcW w:w="2700" w:type="dxa"/>
            <w:shd w:fill="c6e0b4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9"/>
                <w:szCs w:val="19"/>
              </w:rPr>
              <w:t xml:space="preserve">Nome</w:t>
            </w:r>
          </w:p>
        </w:tc>
        <w:tc>
          <w:tcPr>
            <w:tcW w:w="2472" w:type="dxa"/>
            <w:shd w:fill="c6e0b4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9"/>
                <w:szCs w:val="19"/>
              </w:rPr>
              <w:t xml:space="preserve">Cargo</w:t>
            </w:r>
          </w:p>
        </w:tc>
        <w:tc>
          <w:tcPr>
            <w:tcW w:w="2600" w:type="dxa"/>
            <w:shd w:fill="c6e0b4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9"/>
                <w:szCs w:val="19"/>
              </w:rPr>
              <w:t xml:space="preserve">Assinatura</w:t>
            </w:r>
          </w:p>
        </w:tc>
        <w:tc>
          <w:tcPr>
            <w:tcW w:w="1300" w:type="dxa"/>
            <w:shd w:fill="c6e0b4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9"/>
                <w:szCs w:val="19"/>
              </w:rPr>
              <w:t xml:space="preserve">Data</w:t>
            </w:r>
          </w:p>
        </w:tc>
      </w:tr>
      <w:tr>
        <w:trPr>
          <w:cantSplit w:val="1"/>
        </w:trPr>
        <w:tc>
          <w:tcPr>
            <w:tcW w:w="27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Saulo Pereira de Jesus</w:t>
            </w:r>
          </w:p>
        </w:tc>
        <w:tc>
          <w:tcPr>
            <w:tcW w:w="2472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Gerente do Projeto</w:t>
            </w:r>
          </w:p>
        </w:tc>
        <w:tc>
          <w:tcPr>
            <w:tcW w:w="26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Saulo Pereira de Jesus</w:t>
            </w:r>
          </w:p>
        </w:tc>
        <w:tc>
          <w:tcPr>
            <w:tcW w:w="13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25/09/2026</w:t>
            </w:r>
          </w:p>
        </w:tc>
      </w:tr>
      <w:tr>
        <w:trPr>
          <w:cantSplit w:val="1"/>
        </w:trPr>
        <w:tc>
          <w:tcPr>
            <w:tcW w:w="2700" w:type="dxa"/>
            <w:shd w:fill="f1f7ea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Felipe Vallim Soares</w:t>
            </w:r>
          </w:p>
        </w:tc>
        <w:tc>
          <w:tcPr>
            <w:tcW w:w="2472" w:type="dxa"/>
            <w:shd w:fill="f1f7ea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Responsável - Firmware (ESP32)</w:t>
            </w:r>
          </w:p>
        </w:tc>
        <w:tc>
          <w:tcPr>
            <w:tcW w:w="2600" w:type="dxa"/>
            <w:shd w:fill="f1f7ea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Felipe Vallim Soares</w:t>
            </w:r>
          </w:p>
        </w:tc>
        <w:tc>
          <w:tcPr>
            <w:tcW w:w="1300" w:type="dxa"/>
            <w:shd w:fill="f1f7ea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25/09/2026</w:t>
            </w:r>
          </w:p>
        </w:tc>
      </w:tr>
      <w:tr>
        <w:trPr>
          <w:cantSplit w:val="1"/>
        </w:trPr>
        <w:tc>
          <w:tcPr>
            <w:tcW w:w="27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Guilhermy Mariano Lisboa Garcia</w:t>
            </w:r>
          </w:p>
        </w:tc>
        <w:tc>
          <w:tcPr>
            <w:tcW w:w="2472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Responsável - Backend (API e banco)</w:t>
            </w:r>
          </w:p>
        </w:tc>
        <w:tc>
          <w:tcPr>
            <w:tcW w:w="26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Guilhermy Mariano Lisboa Garcia</w:t>
            </w:r>
          </w:p>
        </w:tc>
        <w:tc>
          <w:tcPr>
            <w:tcW w:w="13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25/09/2026</w:t>
            </w:r>
          </w:p>
        </w:tc>
      </w:tr>
      <w:tr>
        <w:trPr>
          <w:cantSplit w:val="1"/>
        </w:trPr>
        <w:tc>
          <w:tcPr>
            <w:tcW w:w="2700" w:type="dxa"/>
            <w:shd w:fill="f1f7ea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Gustavo Oliveira Demetrio</w:t>
            </w:r>
          </w:p>
        </w:tc>
        <w:tc>
          <w:tcPr>
            <w:tcW w:w="2472" w:type="dxa"/>
            <w:shd w:fill="f1f7ea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Responsável - Aplicativo Mobile</w:t>
            </w:r>
          </w:p>
        </w:tc>
        <w:tc>
          <w:tcPr>
            <w:tcW w:w="2600" w:type="dxa"/>
            <w:shd w:fill="f1f7ea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Gustavo Oliveira Demetrio</w:t>
            </w:r>
          </w:p>
        </w:tc>
        <w:tc>
          <w:tcPr>
            <w:tcW w:w="1300" w:type="dxa"/>
            <w:shd w:fill="f1f7ea" w:val="clear"/>
            <w:tcMar>
              <w:top w:w="80" w:type="dxa"/>
              <w:bottom w:w="8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25/09/2026</w:t>
            </w:r>
          </w:p>
        </w:tc>
      </w:tr>
      <w:tr>
        <w:trPr>
          <w:cantSplit w:val="1"/>
        </w:trPr>
        <w:tc>
          <w:tcPr>
            <w:tcW w:w="2700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Prof. Victor Bruno Alexander Rosetti</w:t>
            </w:r>
          </w:p>
        </w:tc>
        <w:tc>
          <w:tcPr>
            <w:tcW w:w="2472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</w:rPr>
              <w:t xml:space="preserve">Patrocinador do Projeto</w:t>
            </w:r>
          </w:p>
        </w:tc>
        <w:tc>
          <w:tcPr>
            <w:tcW w:w="2600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</w:p>
        </w:tc>
        <w:tc>
          <w:tcPr>
            <w:tcW w:w="1300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</w:p>
        </w:tc>
      </w:tr>
    </w:tbl>
    <w:p>
      <w:pPr>
        <w:pStyle w:val="Heading1"/>
        <w:keepNext w:val="1"/>
        <w:pageBreakBefore w:val="1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6b24"/>
          <w:sz w:val="24"/>
          <w:szCs w:val="24"/>
        </w:rPr>
        <w:t xml:space="preserve">ANEXO A - REGISTRO DE RISCOS</w:t>
      </w:r>
    </w:p>
    <w:p>
      <w:pPr>
        <w:spacing w:after="120" w:line="360" w:lineRule="auto"/>
        <w:ind w:firstLine="709"/>
        <w:jc w:val="both"/>
        <w:rPr/>
      </w:pPr>
      <w:r>
        <w:rPr>
          <w:rFonts w:ascii="Arial" w:cs="Arial" w:eastAsia="Arial" w:hAnsi="Arial"/>
          <w:b w:val="0"/>
          <w:bCs w:val="0"/>
          <w:color w:val="242424"/>
          <w:sz w:val="24"/>
          <w:szCs w:val="24"/>
        </w:rPr>
        <w:t xml:space="preserve">O registro abaixo consolida os riscos identificados no Smash. O Quadro 7 mostra a classificação de cada risco, o Quadro 8 a resposta planejada e o Quadro 9 onde cada risco técnico pode ser conferido no código.</w:t>
      </w:r>
    </w:p>
    <w:p>
      <w:pPr>
        <w:keepNext w:val="1"/>
        <w:spacing w:after="60" w:before="80" w:lineRule="auto"/>
        <w:rPr/>
      </w:pPr>
      <w:r>
        <w:rPr>
          <w:rFonts w:ascii="Arial" w:cs="Arial" w:eastAsia="Arial" w:hAnsi="Arial"/>
          <w:b w:val="0"/>
          <w:bCs w:val="0"/>
          <w:color w:val="595959"/>
          <w:sz w:val="19"/>
          <w:szCs w:val="19"/>
        </w:rPr>
        <w:t xml:space="preserve">Quadro 7 - Registro de riscos.</w:t>
      </w:r>
    </w:p>
    <w:tbl>
      <w:tblPr>
        <w:tblStyle w:val="Table2"/>
        <w:tblW w:w="9072" w:type="dxa"/>
        <w:jc w:val="center"/>
        <w:tblBorders>
          <w:top w:color="70ad47" w:space="0" w:sz="6" w:val="single"/>
          <w:left w:color="70ad47" w:space="0" w:sz="6" w:val="single"/>
          <w:bottom w:color="70ad47" w:space="0" w:sz="6" w:val="single"/>
          <w:right w:color="70ad47" w:space="0" w:sz="6" w:val="single"/>
          <w:insideH w:color="70ad47" w:space="0" w:sz="6" w:val="single"/>
          <w:insideV w:color="70ad47" w:space="0" w:sz="6" w:val="single"/>
        </w:tblBorders>
        <w:tblLayout w:type="fixed"/>
        <w:tblLook w:val="0400"/>
      </w:tblPr>
      <w:tblGrid>
        <w:gridCol w:w="560"/>
        <w:gridCol w:w="3502"/>
        <w:gridCol w:w="1500"/>
        <w:gridCol w:w="1000"/>
        <w:gridCol w:w="1110"/>
        <w:gridCol w:w="1400"/>
      </w:tblGrid>
      <w:tr>
        <w:trPr>
          <w:cantSplit w:val="1"/>
          <w:tblHeader w:val="1"/>
        </w:trPr>
        <w:tc>
          <w:tcPr>
            <w:tcW w:w="560" w:type="dxa"/>
            <w:shd w:fill="c6e0b4" w:val="clear"/>
            <w:tcMar>
              <w:top w:w="50" w:type="dxa"/>
              <w:bottom w:w="5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8"/>
                <w:szCs w:val="18"/>
              </w:rPr>
              <w:t xml:space="preserve">ID</w:t>
            </w:r>
          </w:p>
        </w:tc>
        <w:tc>
          <w:tcPr>
            <w:tcW w:w="3502" w:type="dxa"/>
            <w:shd w:fill="c6e0b4" w:val="clear"/>
            <w:tcMar>
              <w:top w:w="50" w:type="dxa"/>
              <w:bottom w:w="5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8"/>
                <w:szCs w:val="18"/>
              </w:rPr>
              <w:t xml:space="preserve">Risco</w:t>
            </w:r>
          </w:p>
        </w:tc>
        <w:tc>
          <w:tcPr>
            <w:tcW w:w="1500" w:type="dxa"/>
            <w:shd w:fill="c6e0b4" w:val="clear"/>
            <w:tcMar>
              <w:top w:w="50" w:type="dxa"/>
              <w:bottom w:w="5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8"/>
                <w:szCs w:val="18"/>
              </w:rPr>
              <w:t xml:space="preserve">Categoria</w:t>
            </w:r>
          </w:p>
        </w:tc>
        <w:tc>
          <w:tcPr>
            <w:tcW w:w="1000" w:type="dxa"/>
            <w:shd w:fill="c6e0b4" w:val="clear"/>
            <w:tcMar>
              <w:top w:w="50" w:type="dxa"/>
              <w:bottom w:w="5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8"/>
                <w:szCs w:val="18"/>
              </w:rPr>
              <w:t xml:space="preserve">Prob.</w:t>
            </w:r>
          </w:p>
        </w:tc>
        <w:tc>
          <w:tcPr>
            <w:tcW w:w="1110" w:type="dxa"/>
            <w:shd w:fill="c6e0b4" w:val="clear"/>
            <w:tcMar>
              <w:top w:w="50" w:type="dxa"/>
              <w:bottom w:w="5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8"/>
                <w:szCs w:val="18"/>
              </w:rPr>
              <w:t xml:space="preserve">Impacto</w:t>
            </w:r>
          </w:p>
        </w:tc>
        <w:tc>
          <w:tcPr>
            <w:tcW w:w="1400" w:type="dxa"/>
            <w:shd w:fill="c6e0b4" w:val="clear"/>
            <w:tcMar>
              <w:top w:w="50" w:type="dxa"/>
              <w:bottom w:w="5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8"/>
                <w:szCs w:val="18"/>
              </w:rPr>
              <w:t xml:space="preserve">Severidade</w:t>
            </w:r>
          </w:p>
        </w:tc>
      </w:tr>
      <w:tr>
        <w:trPr>
          <w:cantSplit w:val="1"/>
        </w:trPr>
        <w:tc>
          <w:tcPr>
            <w:tcW w:w="56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R01</w:t>
            </w:r>
          </w:p>
        </w:tc>
        <w:tc>
          <w:tcPr>
            <w:tcW w:w="3502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A API usa HTTP sem criptografia e o aplicativo envia o token JWT nesse canal.</w:t>
            </w:r>
          </w:p>
        </w:tc>
        <w:tc>
          <w:tcPr>
            <w:tcW w:w="15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Técnico</w:t>
            </w:r>
          </w:p>
        </w:tc>
        <w:tc>
          <w:tcPr>
            <w:tcW w:w="10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Alta</w:t>
            </w:r>
          </w:p>
        </w:tc>
        <w:tc>
          <w:tcPr>
            <w:tcW w:w="111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Muito Alto</w:t>
            </w:r>
          </w:p>
        </w:tc>
        <w:tc>
          <w:tcPr>
            <w:tcW w:w="1400" w:type="dxa"/>
            <w:shd w:fill="f8b4a6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Extremo</w:t>
            </w:r>
          </w:p>
        </w:tc>
      </w:tr>
      <w:tr>
        <w:trPr>
          <w:cantSplit w:val="1"/>
        </w:trPr>
        <w:tc>
          <w:tcPr>
            <w:tcW w:w="56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R02</w:t>
            </w:r>
          </w:p>
        </w:tc>
        <w:tc>
          <w:tcPr>
            <w:tcW w:w="3502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O WebSocket da parede usa ws:// e aceita qualquer cliente sem autenticação.</w:t>
            </w:r>
          </w:p>
        </w:tc>
        <w:tc>
          <w:tcPr>
            <w:tcW w:w="15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Técnico</w:t>
            </w:r>
          </w:p>
        </w:tc>
        <w:tc>
          <w:tcPr>
            <w:tcW w:w="10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Muito Alta</w:t>
            </w:r>
          </w:p>
        </w:tc>
        <w:tc>
          <w:tcPr>
            <w:tcW w:w="111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Alto</w:t>
            </w:r>
          </w:p>
        </w:tc>
        <w:tc>
          <w:tcPr>
            <w:tcW w:w="1400" w:type="dxa"/>
            <w:shd w:fill="f8b4a6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Extremo</w:t>
            </w:r>
          </w:p>
        </w:tc>
      </w:tr>
      <w:tr>
        <w:trPr>
          <w:cantSplit w:val="1"/>
        </w:trPr>
        <w:tc>
          <w:tcPr>
            <w:tcW w:w="56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R03</w:t>
            </w:r>
          </w:p>
        </w:tc>
        <w:tc>
          <w:tcPr>
            <w:tcW w:w="3502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A senha do SoftAP é previsível e está versionada em repositório público.</w:t>
            </w:r>
          </w:p>
        </w:tc>
        <w:tc>
          <w:tcPr>
            <w:tcW w:w="15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Técnico</w:t>
            </w:r>
          </w:p>
        </w:tc>
        <w:tc>
          <w:tcPr>
            <w:tcW w:w="10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Muito Alta</w:t>
            </w:r>
          </w:p>
        </w:tc>
        <w:tc>
          <w:tcPr>
            <w:tcW w:w="111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Alto</w:t>
            </w:r>
          </w:p>
        </w:tc>
        <w:tc>
          <w:tcPr>
            <w:tcW w:w="1400" w:type="dxa"/>
            <w:shd w:fill="f8b4a6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Extremo</w:t>
            </w:r>
          </w:p>
        </w:tc>
      </w:tr>
      <w:tr>
        <w:trPr>
          <w:cantSplit w:val="1"/>
        </w:trPr>
        <w:tc>
          <w:tcPr>
            <w:tcW w:w="56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R04</w:t>
            </w:r>
          </w:p>
        </w:tc>
        <w:tc>
          <w:tcPr>
            <w:tcW w:w="3502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O resultado da sessão é declarado pelo aplicativo e aceito pelo backend sem prova de que a partida ocorreu.</w:t>
            </w:r>
          </w:p>
        </w:tc>
        <w:tc>
          <w:tcPr>
            <w:tcW w:w="15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Técnico</w:t>
            </w:r>
          </w:p>
        </w:tc>
        <w:tc>
          <w:tcPr>
            <w:tcW w:w="10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Alta</w:t>
            </w:r>
          </w:p>
        </w:tc>
        <w:tc>
          <w:tcPr>
            <w:tcW w:w="111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Alto</w:t>
            </w:r>
          </w:p>
        </w:tc>
        <w:tc>
          <w:tcPr>
            <w:tcW w:w="1400" w:type="dxa"/>
            <w:shd w:fill="fbd5a5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Alto</w:t>
            </w:r>
          </w:p>
        </w:tc>
      </w:tr>
      <w:tr>
        <w:trPr>
          <w:cantSplit w:val="1"/>
        </w:trPr>
        <w:tc>
          <w:tcPr>
            <w:tcW w:w="56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R05</w:t>
            </w:r>
          </w:p>
        </w:tc>
        <w:tc>
          <w:tcPr>
            <w:tcW w:w="3502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Qualquer cliente conectado pode trocar o identificador global de sessão da parede.</w:t>
            </w:r>
          </w:p>
        </w:tc>
        <w:tc>
          <w:tcPr>
            <w:tcW w:w="15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Técnico</w:t>
            </w:r>
          </w:p>
        </w:tc>
        <w:tc>
          <w:tcPr>
            <w:tcW w:w="10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Alta</w:t>
            </w:r>
          </w:p>
        </w:tc>
        <w:tc>
          <w:tcPr>
            <w:tcW w:w="111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Médio</w:t>
            </w:r>
          </w:p>
        </w:tc>
        <w:tc>
          <w:tcPr>
            <w:tcW w:w="1400" w:type="dxa"/>
            <w:shd w:fill="fbd5a5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Alto</w:t>
            </w:r>
          </w:p>
        </w:tc>
      </w:tr>
      <w:tr>
        <w:trPr>
          <w:cantSplit w:val="1"/>
        </w:trPr>
        <w:tc>
          <w:tcPr>
            <w:tcW w:w="56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R06</w:t>
            </w:r>
          </w:p>
        </w:tc>
        <w:tc>
          <w:tcPr>
            <w:tcW w:w="3502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Login e cadastro não têm limitação de tentativas.</w:t>
            </w:r>
          </w:p>
        </w:tc>
        <w:tc>
          <w:tcPr>
            <w:tcW w:w="15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Técnico</w:t>
            </w:r>
          </w:p>
        </w:tc>
        <w:tc>
          <w:tcPr>
            <w:tcW w:w="10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Alta</w:t>
            </w:r>
          </w:p>
        </w:tc>
        <w:tc>
          <w:tcPr>
            <w:tcW w:w="111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Médio</w:t>
            </w:r>
          </w:p>
        </w:tc>
        <w:tc>
          <w:tcPr>
            <w:tcW w:w="1400" w:type="dxa"/>
            <w:shd w:fill="fbd5a5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Alto</w:t>
            </w:r>
          </w:p>
        </w:tc>
      </w:tr>
      <w:tr>
        <w:trPr>
          <w:cantSplit w:val="1"/>
        </w:trPr>
        <w:tc>
          <w:tcPr>
            <w:tcW w:w="56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R07</w:t>
            </w:r>
          </w:p>
        </w:tc>
        <w:tc>
          <w:tcPr>
            <w:tcW w:w="3502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O ESP32 não limita clientes, tamanho de mensagens ou frequência de comandos.</w:t>
            </w:r>
          </w:p>
        </w:tc>
        <w:tc>
          <w:tcPr>
            <w:tcW w:w="15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Técnico</w:t>
            </w:r>
          </w:p>
        </w:tc>
        <w:tc>
          <w:tcPr>
            <w:tcW w:w="10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Média</w:t>
            </w:r>
          </w:p>
        </w:tc>
        <w:tc>
          <w:tcPr>
            <w:tcW w:w="111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Alto</w:t>
            </w:r>
          </w:p>
        </w:tc>
        <w:tc>
          <w:tcPr>
            <w:tcW w:w="1400" w:type="dxa"/>
            <w:shd w:fill="fbd5a5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Alto</w:t>
            </w:r>
          </w:p>
        </w:tc>
      </w:tr>
      <w:tr>
        <w:trPr>
          <w:cantSplit w:val="1"/>
        </w:trPr>
        <w:tc>
          <w:tcPr>
            <w:tcW w:w="56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R08</w:t>
            </w:r>
          </w:p>
        </w:tc>
        <w:tc>
          <w:tcPr>
            <w:tcW w:w="3502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A API aceita qualquer origem CORS e escuta em todas as interfaces.</w:t>
            </w:r>
          </w:p>
        </w:tc>
        <w:tc>
          <w:tcPr>
            <w:tcW w:w="15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Técnico</w:t>
            </w:r>
          </w:p>
        </w:tc>
        <w:tc>
          <w:tcPr>
            <w:tcW w:w="10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Média</w:t>
            </w:r>
          </w:p>
        </w:tc>
        <w:tc>
          <w:tcPr>
            <w:tcW w:w="111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Médio</w:t>
            </w:r>
          </w:p>
        </w:tc>
        <w:tc>
          <w:tcPr>
            <w:tcW w:w="1400" w:type="dxa"/>
            <w:shd w:fill="fdefb2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Médio</w:t>
            </w:r>
          </w:p>
        </w:tc>
      </w:tr>
      <w:tr>
        <w:trPr>
          <w:cantSplit w:val="1"/>
        </w:trPr>
        <w:tc>
          <w:tcPr>
            <w:tcW w:w="56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R09</w:t>
            </w:r>
          </w:p>
        </w:tc>
        <w:tc>
          <w:tcPr>
            <w:tcW w:w="3502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O banco usa usuário e senha padrão de desenvolvimento como fallback.</w:t>
            </w:r>
          </w:p>
        </w:tc>
        <w:tc>
          <w:tcPr>
            <w:tcW w:w="15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Técnico</w:t>
            </w:r>
          </w:p>
        </w:tc>
        <w:tc>
          <w:tcPr>
            <w:tcW w:w="10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Média</w:t>
            </w:r>
          </w:p>
        </w:tc>
        <w:tc>
          <w:tcPr>
            <w:tcW w:w="111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Muito Alto</w:t>
            </w:r>
          </w:p>
        </w:tc>
        <w:tc>
          <w:tcPr>
            <w:tcW w:w="1400" w:type="dxa"/>
            <w:shd w:fill="fbd5a5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Alto</w:t>
            </w:r>
          </w:p>
        </w:tc>
      </w:tr>
      <w:tr>
        <w:trPr>
          <w:cantSplit w:val="1"/>
        </w:trPr>
        <w:tc>
          <w:tcPr>
            <w:tcW w:w="56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R10</w:t>
            </w:r>
          </w:p>
        </w:tc>
        <w:tc>
          <w:tcPr>
            <w:tcW w:w="3502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O JWT dura sete dias e não possui revogação no servidor.</w:t>
            </w:r>
          </w:p>
        </w:tc>
        <w:tc>
          <w:tcPr>
            <w:tcW w:w="15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Técnico</w:t>
            </w:r>
          </w:p>
        </w:tc>
        <w:tc>
          <w:tcPr>
            <w:tcW w:w="10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Média</w:t>
            </w:r>
          </w:p>
        </w:tc>
        <w:tc>
          <w:tcPr>
            <w:tcW w:w="111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Médio</w:t>
            </w:r>
          </w:p>
        </w:tc>
        <w:tc>
          <w:tcPr>
            <w:tcW w:w="1400" w:type="dxa"/>
            <w:shd w:fill="fdefb2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Médio</w:t>
            </w:r>
          </w:p>
        </w:tc>
      </w:tr>
      <w:tr>
        <w:trPr>
          <w:cantSplit w:val="1"/>
        </w:trPr>
        <w:tc>
          <w:tcPr>
            <w:tcW w:w="56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R11</w:t>
            </w:r>
          </w:p>
        </w:tc>
        <w:tc>
          <w:tcPr>
            <w:tcW w:w="3502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As dependências possuem alertas conhecidos no npm audit.</w:t>
            </w:r>
          </w:p>
        </w:tc>
        <w:tc>
          <w:tcPr>
            <w:tcW w:w="15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Técnico</w:t>
            </w:r>
          </w:p>
        </w:tc>
        <w:tc>
          <w:tcPr>
            <w:tcW w:w="10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Média</w:t>
            </w:r>
          </w:p>
        </w:tc>
        <w:tc>
          <w:tcPr>
            <w:tcW w:w="111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Alto</w:t>
            </w:r>
          </w:p>
        </w:tc>
        <w:tc>
          <w:tcPr>
            <w:tcW w:w="1400" w:type="dxa"/>
            <w:shd w:fill="fbd5a5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Alto</w:t>
            </w:r>
          </w:p>
        </w:tc>
      </w:tr>
      <w:tr>
        <w:trPr>
          <w:cantSplit w:val="1"/>
        </w:trPr>
        <w:tc>
          <w:tcPr>
            <w:tcW w:w="56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R12</w:t>
            </w:r>
          </w:p>
        </w:tc>
        <w:tc>
          <w:tcPr>
            <w:tcW w:w="3502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Eventos de segurança têm pouca trilha de auditoria.</w:t>
            </w:r>
          </w:p>
        </w:tc>
        <w:tc>
          <w:tcPr>
            <w:tcW w:w="15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Técnico</w:t>
            </w:r>
          </w:p>
        </w:tc>
        <w:tc>
          <w:tcPr>
            <w:tcW w:w="10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Média</w:t>
            </w:r>
          </w:p>
        </w:tc>
        <w:tc>
          <w:tcPr>
            <w:tcW w:w="111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Médio</w:t>
            </w:r>
          </w:p>
        </w:tc>
        <w:tc>
          <w:tcPr>
            <w:tcW w:w="1400" w:type="dxa"/>
            <w:shd w:fill="fdefb2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Médio</w:t>
            </w:r>
          </w:p>
        </w:tc>
      </w:tr>
      <w:tr>
        <w:trPr>
          <w:cantSplit w:val="1"/>
        </w:trPr>
        <w:tc>
          <w:tcPr>
            <w:tcW w:w="56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R13</w:t>
            </w:r>
          </w:p>
        </w:tc>
        <w:tc>
          <w:tcPr>
            <w:tcW w:w="3502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A integração MQTT prevista ainda não tem controles de segurança definidos.</w:t>
            </w:r>
          </w:p>
        </w:tc>
        <w:tc>
          <w:tcPr>
            <w:tcW w:w="15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Técnico</w:t>
            </w:r>
          </w:p>
        </w:tc>
        <w:tc>
          <w:tcPr>
            <w:tcW w:w="10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Média</w:t>
            </w:r>
          </w:p>
        </w:tc>
        <w:tc>
          <w:tcPr>
            <w:tcW w:w="111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Alto</w:t>
            </w:r>
          </w:p>
        </w:tc>
        <w:tc>
          <w:tcPr>
            <w:tcW w:w="1400" w:type="dxa"/>
            <w:shd w:fill="fbd5a5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Alto</w:t>
            </w:r>
          </w:p>
        </w:tc>
      </w:tr>
      <w:tr>
        <w:trPr>
          <w:cantSplit w:val="1"/>
        </w:trPr>
        <w:tc>
          <w:tcPr>
            <w:tcW w:w="56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R14</w:t>
            </w:r>
          </w:p>
        </w:tc>
        <w:tc>
          <w:tcPr>
            <w:tcW w:w="3502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Isolamento mecânico insuficiente entre as placas faz a parede registrar o alvo errado.</w:t>
            </w:r>
          </w:p>
        </w:tc>
        <w:tc>
          <w:tcPr>
            <w:tcW w:w="15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Técnico</w:t>
            </w:r>
          </w:p>
        </w:tc>
        <w:tc>
          <w:tcPr>
            <w:tcW w:w="10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Média</w:t>
            </w:r>
          </w:p>
        </w:tc>
        <w:tc>
          <w:tcPr>
            <w:tcW w:w="111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Alto</w:t>
            </w:r>
          </w:p>
        </w:tc>
        <w:tc>
          <w:tcPr>
            <w:tcW w:w="1400" w:type="dxa"/>
            <w:shd w:fill="fbd5a5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Alto</w:t>
            </w:r>
          </w:p>
        </w:tc>
      </w:tr>
      <w:tr>
        <w:trPr>
          <w:cantSplit w:val="1"/>
        </w:trPr>
        <w:tc>
          <w:tcPr>
            <w:tcW w:w="56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R15</w:t>
            </w:r>
          </w:p>
        </w:tc>
        <w:tc>
          <w:tcPr>
            <w:tcW w:w="3502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Tempo insuficiente para implementar as respostas até a Entrega 2, em paralelo às demais disciplinas.</w:t>
            </w:r>
          </w:p>
        </w:tc>
        <w:tc>
          <w:tcPr>
            <w:tcW w:w="15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Gerencial</w:t>
            </w:r>
          </w:p>
        </w:tc>
        <w:tc>
          <w:tcPr>
            <w:tcW w:w="10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Alta</w:t>
            </w:r>
          </w:p>
        </w:tc>
        <w:tc>
          <w:tcPr>
            <w:tcW w:w="111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Alto</w:t>
            </w:r>
          </w:p>
        </w:tc>
        <w:tc>
          <w:tcPr>
            <w:tcW w:w="1400" w:type="dxa"/>
            <w:shd w:fill="fbd5a5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Alto</w:t>
            </w:r>
          </w:p>
        </w:tc>
      </w:tr>
      <w:tr>
        <w:trPr>
          <w:cantSplit w:val="1"/>
        </w:trPr>
        <w:tc>
          <w:tcPr>
            <w:tcW w:w="56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R16</w:t>
            </w:r>
          </w:p>
        </w:tc>
        <w:tc>
          <w:tcPr>
            <w:tcW w:w="3502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Alteração de critérios, datas ou formatos das entregas pelos docentes.</w:t>
            </w:r>
          </w:p>
        </w:tc>
        <w:tc>
          <w:tcPr>
            <w:tcW w:w="15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Organizacional</w:t>
            </w:r>
          </w:p>
        </w:tc>
        <w:tc>
          <w:tcPr>
            <w:tcW w:w="10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Média</w:t>
            </w:r>
          </w:p>
        </w:tc>
        <w:tc>
          <w:tcPr>
            <w:tcW w:w="111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Médio</w:t>
            </w:r>
          </w:p>
        </w:tc>
        <w:tc>
          <w:tcPr>
            <w:tcW w:w="1400" w:type="dxa"/>
            <w:shd w:fill="fdefb2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Médio</w:t>
            </w:r>
          </w:p>
        </w:tc>
      </w:tr>
      <w:tr>
        <w:trPr>
          <w:cantSplit w:val="1"/>
        </w:trPr>
        <w:tc>
          <w:tcPr>
            <w:tcW w:w="56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R17</w:t>
            </w:r>
          </w:p>
        </w:tc>
        <w:tc>
          <w:tcPr>
            <w:tcW w:w="3502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Dados pessoais reais usados em testes e demonstrações, em desacordo com a LGPD.</w:t>
            </w:r>
          </w:p>
        </w:tc>
        <w:tc>
          <w:tcPr>
            <w:tcW w:w="15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Organizacional</w:t>
            </w:r>
          </w:p>
        </w:tc>
        <w:tc>
          <w:tcPr>
            <w:tcW w:w="10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Média</w:t>
            </w:r>
          </w:p>
        </w:tc>
        <w:tc>
          <w:tcPr>
            <w:tcW w:w="111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Alto</w:t>
            </w:r>
          </w:p>
        </w:tc>
        <w:tc>
          <w:tcPr>
            <w:tcW w:w="1400" w:type="dxa"/>
            <w:shd w:fill="fbd5a5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Alto</w:t>
            </w:r>
          </w:p>
        </w:tc>
      </w:tr>
      <w:tr>
        <w:trPr>
          <w:cantSplit w:val="1"/>
        </w:trPr>
        <w:tc>
          <w:tcPr>
            <w:tcW w:w="56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R18</w:t>
            </w:r>
          </w:p>
        </w:tc>
        <w:tc>
          <w:tcPr>
            <w:tcW w:w="3502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Falha ou dano da única placa ESP32 disponível.</w:t>
            </w:r>
          </w:p>
        </w:tc>
        <w:tc>
          <w:tcPr>
            <w:tcW w:w="15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Externo</w:t>
            </w:r>
          </w:p>
        </w:tc>
        <w:tc>
          <w:tcPr>
            <w:tcW w:w="10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Baixa</w:t>
            </w:r>
          </w:p>
        </w:tc>
        <w:tc>
          <w:tcPr>
            <w:tcW w:w="111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Alto</w:t>
            </w:r>
          </w:p>
        </w:tc>
        <w:tc>
          <w:tcPr>
            <w:tcW w:w="1400" w:type="dxa"/>
            <w:shd w:fill="fdefb2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Médio</w:t>
            </w:r>
          </w:p>
        </w:tc>
      </w:tr>
      <w:tr>
        <w:trPr>
          <w:cantSplit w:val="1"/>
        </w:trPr>
        <w:tc>
          <w:tcPr>
            <w:tcW w:w="56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R19</w:t>
            </w:r>
          </w:p>
        </w:tc>
        <w:tc>
          <w:tcPr>
            <w:tcW w:w="3502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Rede Wi-Fi do local de demonstração indisponível ou instável.</w:t>
            </w:r>
          </w:p>
        </w:tc>
        <w:tc>
          <w:tcPr>
            <w:tcW w:w="15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Externo</w:t>
            </w:r>
          </w:p>
        </w:tc>
        <w:tc>
          <w:tcPr>
            <w:tcW w:w="10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Média</w:t>
            </w:r>
          </w:p>
        </w:tc>
        <w:tc>
          <w:tcPr>
            <w:tcW w:w="111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Médio</w:t>
            </w:r>
          </w:p>
        </w:tc>
        <w:tc>
          <w:tcPr>
            <w:tcW w:w="1400" w:type="dxa"/>
            <w:shd w:fill="fdefb2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Médio</w:t>
            </w:r>
          </w:p>
        </w:tc>
      </w:tr>
    </w:tbl>
    <w:p>
      <w:pPr>
        <w:spacing w:after="60" w:lineRule="auto"/>
        <w:rPr/>
      </w:pPr>
    </w:p>
    <w:p>
      <w:pPr>
        <w:keepNext w:val="1"/>
        <w:spacing w:after="60" w:before="80" w:lineRule="auto"/>
        <w:rPr/>
      </w:pPr>
      <w:r>
        <w:rPr>
          <w:rFonts w:ascii="Arial" w:cs="Arial" w:eastAsia="Arial" w:hAnsi="Arial"/>
          <w:b w:val="0"/>
          <w:bCs w:val="0"/>
          <w:color w:val="595959"/>
          <w:sz w:val="19"/>
          <w:szCs w:val="19"/>
        </w:rPr>
        <w:t xml:space="preserve">Quadro 8 - Plano de respostas aos riscos.</w:t>
      </w:r>
    </w:p>
    <w:tbl>
      <w:tblPr>
        <w:tblStyle w:val="Table2"/>
        <w:tblW w:w="9072" w:type="dxa"/>
        <w:jc w:val="center"/>
        <w:tblBorders>
          <w:top w:color="70ad47" w:space="0" w:sz="6" w:val="single"/>
          <w:left w:color="70ad47" w:space="0" w:sz="6" w:val="single"/>
          <w:bottom w:color="70ad47" w:space="0" w:sz="6" w:val="single"/>
          <w:right w:color="70ad47" w:space="0" w:sz="6" w:val="single"/>
          <w:insideH w:color="70ad47" w:space="0" w:sz="6" w:val="single"/>
          <w:insideV w:color="70ad47" w:space="0" w:sz="6" w:val="single"/>
        </w:tblBorders>
        <w:tblLayout w:type="fixed"/>
        <w:tblLook w:val="0400"/>
      </w:tblPr>
      <w:tblGrid>
        <w:gridCol w:w="560"/>
        <w:gridCol w:w="1250"/>
        <w:gridCol w:w="3012"/>
        <w:gridCol w:w="1400"/>
        <w:gridCol w:w="1500"/>
        <w:gridCol w:w="1350"/>
      </w:tblGrid>
      <w:tr>
        <w:trPr>
          <w:cantSplit w:val="1"/>
          <w:tblHeader w:val="1"/>
        </w:trPr>
        <w:tc>
          <w:tcPr>
            <w:tcW w:w="560" w:type="dxa"/>
            <w:shd w:fill="c6e0b4" w:val="clear"/>
            <w:tcMar>
              <w:top w:w="50" w:type="dxa"/>
              <w:bottom w:w="5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8"/>
                <w:szCs w:val="18"/>
              </w:rPr>
              <w:t xml:space="preserve">ID</w:t>
            </w:r>
          </w:p>
        </w:tc>
        <w:tc>
          <w:tcPr>
            <w:tcW w:w="1250" w:type="dxa"/>
            <w:shd w:fill="c6e0b4" w:val="clear"/>
            <w:tcMar>
              <w:top w:w="50" w:type="dxa"/>
              <w:bottom w:w="5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8"/>
                <w:szCs w:val="18"/>
              </w:rPr>
              <w:t xml:space="preserve">Estratégia</w:t>
            </w:r>
          </w:p>
        </w:tc>
        <w:tc>
          <w:tcPr>
            <w:tcW w:w="3012" w:type="dxa"/>
            <w:shd w:fill="c6e0b4" w:val="clear"/>
            <w:tcMar>
              <w:top w:w="50" w:type="dxa"/>
              <w:bottom w:w="5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8"/>
                <w:szCs w:val="18"/>
              </w:rPr>
              <w:t xml:space="preserve">Ações planejadas</w:t>
            </w:r>
          </w:p>
        </w:tc>
        <w:tc>
          <w:tcPr>
            <w:tcW w:w="1400" w:type="dxa"/>
            <w:shd w:fill="c6e0b4" w:val="clear"/>
            <w:tcMar>
              <w:top w:w="50" w:type="dxa"/>
              <w:bottom w:w="5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8"/>
                <w:szCs w:val="18"/>
              </w:rPr>
              <w:t xml:space="preserve">Responsável</w:t>
            </w:r>
          </w:p>
        </w:tc>
        <w:tc>
          <w:tcPr>
            <w:tcW w:w="1500" w:type="dxa"/>
            <w:shd w:fill="c6e0b4" w:val="clear"/>
            <w:tcMar>
              <w:top w:w="50" w:type="dxa"/>
              <w:bottom w:w="5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8"/>
                <w:szCs w:val="18"/>
              </w:rPr>
              <w:t xml:space="preserve">Prazo</w:t>
            </w:r>
          </w:p>
        </w:tc>
        <w:tc>
          <w:tcPr>
            <w:tcW w:w="1350" w:type="dxa"/>
            <w:shd w:fill="c6e0b4" w:val="clear"/>
            <w:tcMar>
              <w:top w:w="50" w:type="dxa"/>
              <w:bottom w:w="5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8"/>
                <w:szCs w:val="18"/>
              </w:rPr>
              <w:t xml:space="preserve">Status</w:t>
            </w:r>
          </w:p>
        </w:tc>
      </w:tr>
      <w:tr>
        <w:trPr>
          <w:cantSplit w:val="1"/>
        </w:trPr>
        <w:tc>
          <w:tcPr>
            <w:tcW w:w="56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R01</w:t>
            </w:r>
          </w:p>
        </w:tc>
        <w:tc>
          <w:tcPr>
            <w:tcW w:w="125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Mitigar</w:t>
            </w:r>
          </w:p>
        </w:tc>
        <w:tc>
          <w:tcPr>
            <w:tcW w:w="3012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Publicar a API atrás de proxy HTTPS com certificado confiável, mudar o endereço padrão do aplicativo para https e não expor a porta 3000 fora da rede de testes.</w:t>
            </w:r>
          </w:p>
        </w:tc>
        <w:tc>
          <w:tcPr>
            <w:tcW w:w="14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Backend e Aplicativo</w:t>
            </w:r>
          </w:p>
        </w:tc>
        <w:tc>
          <w:tcPr>
            <w:tcW w:w="15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Entrega 2</w:t>
            </w:r>
          </w:p>
        </w:tc>
        <w:tc>
          <w:tcPr>
            <w:tcW w:w="135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Não iniciado</w:t>
            </w:r>
          </w:p>
        </w:tc>
      </w:tr>
      <w:tr>
        <w:trPr>
          <w:cantSplit w:val="1"/>
        </w:trPr>
        <w:tc>
          <w:tcPr>
            <w:tcW w:w="56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R02</w:t>
            </w:r>
          </w:p>
        </w:tc>
        <w:tc>
          <w:tcPr>
            <w:tcW w:w="125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Mitigar</w:t>
            </w:r>
          </w:p>
        </w:tc>
        <w:tc>
          <w:tcPr>
            <w:tcW w:w="3012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Isolar a rede da parede nas demonstrações, autenticar o aplicativo no início da conexão com segredo de pareamento e adotar WSS ou gateway seguro fora do laboratório.</w:t>
            </w:r>
          </w:p>
        </w:tc>
        <w:tc>
          <w:tcPr>
            <w:tcW w:w="14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Firmware e Aplicativo</w:t>
            </w:r>
          </w:p>
        </w:tc>
        <w:tc>
          <w:tcPr>
            <w:tcW w:w="15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Entrega 2</w:t>
            </w:r>
          </w:p>
        </w:tc>
        <w:tc>
          <w:tcPr>
            <w:tcW w:w="135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Não iniciado</w:t>
            </w:r>
          </w:p>
        </w:tc>
      </w:tr>
      <w:tr>
        <w:trPr>
          <w:cantSplit w:val="1"/>
        </w:trPr>
        <w:tc>
          <w:tcPr>
            <w:tcW w:w="56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R03</w:t>
            </w:r>
          </w:p>
        </w:tc>
        <w:tc>
          <w:tcPr>
            <w:tcW w:w="125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Prevenir</w:t>
            </w:r>
          </w:p>
        </w:tc>
        <w:tc>
          <w:tcPr>
            <w:tcW w:w="3012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Retirar a senha do </w:t>
            </w: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f6b24"/>
                <w:sz w:val="18"/>
                <w:szCs w:val="18"/>
              </w:rPr>
              <w:t xml:space="preserve">config.h</w:t>
            </w: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, lê-la de </w:t>
            </w: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f6b24"/>
                <w:sz w:val="18"/>
                <w:szCs w:val="18"/>
              </w:rPr>
              <w:t xml:space="preserve">secrets.h</w:t>
            </w: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 (fora do Git), gerar senha forte por parede e trocá-la antes de cada demonstração.</w:t>
            </w:r>
          </w:p>
        </w:tc>
        <w:tc>
          <w:tcPr>
            <w:tcW w:w="14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Firmware</w:t>
            </w:r>
          </w:p>
        </w:tc>
        <w:tc>
          <w:tcPr>
            <w:tcW w:w="15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Próxima demonstração</w:t>
            </w:r>
          </w:p>
        </w:tc>
        <w:tc>
          <w:tcPr>
            <w:tcW w:w="135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Não iniciado</w:t>
            </w:r>
          </w:p>
        </w:tc>
      </w:tr>
      <w:tr>
        <w:trPr>
          <w:cantSplit w:val="1"/>
        </w:trPr>
        <w:tc>
          <w:tcPr>
            <w:tcW w:w="56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R04</w:t>
            </w:r>
          </w:p>
        </w:tc>
        <w:tc>
          <w:tcPr>
            <w:tcW w:w="125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Mitigar</w:t>
            </w:r>
          </w:p>
        </w:tc>
        <w:tc>
          <w:tcPr>
            <w:tcW w:w="3012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Criar a sessão no backend antes do jogo, aceitar o encerramento uma única vez e validar no servidor modo, nível liberado, duração e teto de pontuação.</w:t>
            </w:r>
          </w:p>
        </w:tc>
        <w:tc>
          <w:tcPr>
            <w:tcW w:w="14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Backend</w:t>
            </w:r>
          </w:p>
        </w:tc>
        <w:tc>
          <w:tcPr>
            <w:tcW w:w="15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Entrega 2</w:t>
            </w:r>
          </w:p>
        </w:tc>
        <w:tc>
          <w:tcPr>
            <w:tcW w:w="135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Não iniciado</w:t>
            </w:r>
          </w:p>
        </w:tc>
      </w:tr>
      <w:tr>
        <w:trPr>
          <w:cantSplit w:val="1"/>
        </w:trPr>
        <w:tc>
          <w:tcPr>
            <w:tcW w:w="56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R05</w:t>
            </w:r>
          </w:p>
        </w:tc>
        <w:tc>
          <w:tcPr>
            <w:tcW w:w="125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Mitigar</w:t>
            </w:r>
          </w:p>
        </w:tc>
        <w:tc>
          <w:tcPr>
            <w:tcW w:w="3012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Vincular a sessão ao cliente pareado, rejeitar trocas durante o treino e limpar o identificador quando esse cliente desconectar.</w:t>
            </w:r>
          </w:p>
        </w:tc>
        <w:tc>
          <w:tcPr>
            <w:tcW w:w="14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Firmware</w:t>
            </w:r>
          </w:p>
        </w:tc>
        <w:tc>
          <w:tcPr>
            <w:tcW w:w="15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Entrega 2</w:t>
            </w:r>
          </w:p>
        </w:tc>
        <w:tc>
          <w:tcPr>
            <w:tcW w:w="135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Não iniciado</w:t>
            </w:r>
          </w:p>
        </w:tc>
      </w:tr>
      <w:tr>
        <w:trPr>
          <w:cantSplit w:val="1"/>
        </w:trPr>
        <w:tc>
          <w:tcPr>
            <w:tcW w:w="56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R06</w:t>
            </w:r>
          </w:p>
        </w:tc>
        <w:tc>
          <w:tcPr>
            <w:tcW w:w="125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Mitigar</w:t>
            </w:r>
          </w:p>
        </w:tc>
        <w:tc>
          <w:tcPr>
            <w:tcW w:w="3012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Aplicar limitação progressiva por IP e por e-mail em sign-in e sign-up e registrar tentativas falhas sem gravar senhas.</w:t>
            </w:r>
          </w:p>
        </w:tc>
        <w:tc>
          <w:tcPr>
            <w:tcW w:w="14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Backend</w:t>
            </w:r>
          </w:p>
        </w:tc>
        <w:tc>
          <w:tcPr>
            <w:tcW w:w="15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Entrega 2</w:t>
            </w:r>
          </w:p>
        </w:tc>
        <w:tc>
          <w:tcPr>
            <w:tcW w:w="135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Não iniciado</w:t>
            </w:r>
          </w:p>
        </w:tc>
      </w:tr>
      <w:tr>
        <w:trPr>
          <w:cantSplit w:val="1"/>
        </w:trPr>
        <w:tc>
          <w:tcPr>
            <w:tcW w:w="56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R07</w:t>
            </w:r>
          </w:p>
        </w:tc>
        <w:tc>
          <w:tcPr>
            <w:tcW w:w="125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Mitigar</w:t>
            </w:r>
          </w:p>
        </w:tc>
        <w:tc>
          <w:tcPr>
            <w:tcW w:w="3012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Limitar clientes simultâneos, tamanho de quadro e comandos por segundo, encerrar conexões ociosas e testar a leitura dos sensores sob tráfego anormal.</w:t>
            </w:r>
          </w:p>
        </w:tc>
        <w:tc>
          <w:tcPr>
            <w:tcW w:w="14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Firmware</w:t>
            </w:r>
          </w:p>
        </w:tc>
        <w:tc>
          <w:tcPr>
            <w:tcW w:w="15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Entrega 2</w:t>
            </w:r>
          </w:p>
        </w:tc>
        <w:tc>
          <w:tcPr>
            <w:tcW w:w="135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Não iniciado</w:t>
            </w:r>
          </w:p>
        </w:tc>
      </w:tr>
      <w:tr>
        <w:trPr>
          <w:cantSplit w:val="1"/>
        </w:trPr>
        <w:tc>
          <w:tcPr>
            <w:tcW w:w="56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R08</w:t>
            </w:r>
          </w:p>
        </w:tc>
        <w:tc>
          <w:tcPr>
            <w:tcW w:w="125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Mitigar</w:t>
            </w:r>
          </w:p>
        </w:tc>
        <w:tc>
          <w:tcPr>
            <w:tcW w:w="3012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Definir lista de origens CORS por ambiente e restringir a interface de escuta e o firewall ao necessário.</w:t>
            </w:r>
          </w:p>
        </w:tc>
        <w:tc>
          <w:tcPr>
            <w:tcW w:w="14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Backend</w:t>
            </w:r>
          </w:p>
        </w:tc>
        <w:tc>
          <w:tcPr>
            <w:tcW w:w="15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Entrega 2</w:t>
            </w:r>
          </w:p>
        </w:tc>
        <w:tc>
          <w:tcPr>
            <w:tcW w:w="135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Não iniciado</w:t>
            </w:r>
          </w:p>
        </w:tc>
      </w:tr>
      <w:tr>
        <w:trPr>
          <w:cantSplit w:val="1"/>
        </w:trPr>
        <w:tc>
          <w:tcPr>
            <w:tcW w:w="56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R09</w:t>
            </w:r>
          </w:p>
        </w:tc>
        <w:tc>
          <w:tcPr>
            <w:tcW w:w="125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Prevenir</w:t>
            </w:r>
          </w:p>
        </w:tc>
        <w:tc>
          <w:tcPr>
            <w:tcW w:w="3012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Remover o fallback de usuário e senha, exigir </w:t>
            </w: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f6b24"/>
                <w:sz w:val="18"/>
                <w:szCs w:val="18"/>
              </w:rPr>
              <w:t xml:space="preserve">DB_PASSWORD</w:t>
            </w: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 fora do ambiente local e usar conta de aplicação com privilégio mínimo.</w:t>
            </w:r>
          </w:p>
        </w:tc>
        <w:tc>
          <w:tcPr>
            <w:tcW w:w="14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Backend</w:t>
            </w:r>
          </w:p>
        </w:tc>
        <w:tc>
          <w:tcPr>
            <w:tcW w:w="15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Entrega 2</w:t>
            </w:r>
          </w:p>
        </w:tc>
        <w:tc>
          <w:tcPr>
            <w:tcW w:w="135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Não iniciado</w:t>
            </w:r>
          </w:p>
        </w:tc>
      </w:tr>
      <w:tr>
        <w:trPr>
          <w:cantSplit w:val="1"/>
        </w:trPr>
        <w:tc>
          <w:tcPr>
            <w:tcW w:w="56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R10</w:t>
            </w:r>
          </w:p>
        </w:tc>
        <w:tc>
          <w:tcPr>
            <w:tcW w:w="125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Mitigar</w:t>
            </w:r>
          </w:p>
        </w:tc>
        <w:tc>
          <w:tcPr>
            <w:tcW w:w="3012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Reduzir a validade do token de acesso, adotar renovação controlada e permitir revogação por versão de sessão ou identificador jti.</w:t>
            </w:r>
          </w:p>
        </w:tc>
        <w:tc>
          <w:tcPr>
            <w:tcW w:w="14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Backend</w:t>
            </w:r>
          </w:p>
        </w:tc>
        <w:tc>
          <w:tcPr>
            <w:tcW w:w="15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Entrega 2</w:t>
            </w:r>
          </w:p>
        </w:tc>
        <w:tc>
          <w:tcPr>
            <w:tcW w:w="135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Não iniciado</w:t>
            </w:r>
          </w:p>
        </w:tc>
      </w:tr>
      <w:tr>
        <w:trPr>
          <w:cantSplit w:val="1"/>
        </w:trPr>
        <w:tc>
          <w:tcPr>
            <w:tcW w:w="56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R11</w:t>
            </w:r>
          </w:p>
        </w:tc>
        <w:tc>
          <w:tcPr>
            <w:tcW w:w="125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Mitigar</w:t>
            </w:r>
          </w:p>
        </w:tc>
        <w:tc>
          <w:tcPr>
            <w:tcW w:w="3012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Aplicar correções compatíveis, testar atualizações de versão principal em branch separada e justificar por escrito os alertas não alcançáveis.</w:t>
            </w:r>
          </w:p>
        </w:tc>
        <w:tc>
          <w:tcPr>
            <w:tcW w:w="14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Backend e Aplicativo</w:t>
            </w:r>
          </w:p>
        </w:tc>
        <w:tc>
          <w:tcPr>
            <w:tcW w:w="15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Entrega 2</w:t>
            </w:r>
          </w:p>
        </w:tc>
        <w:tc>
          <w:tcPr>
            <w:tcW w:w="135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Não iniciado</w:t>
            </w:r>
          </w:p>
        </w:tc>
      </w:tr>
      <w:tr>
        <w:trPr>
          <w:cantSplit w:val="1"/>
        </w:trPr>
        <w:tc>
          <w:tcPr>
            <w:tcW w:w="56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R12</w:t>
            </w:r>
          </w:p>
        </w:tc>
        <w:tc>
          <w:tcPr>
            <w:tcW w:w="125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Mitigar</w:t>
            </w:r>
          </w:p>
        </w:tc>
        <w:tc>
          <w:tcPr>
            <w:tcW w:w="3012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Registrar em logs estruturados autenticação, falhas de validação e abuso, sem senha ou token completo, e revisá-los após testes e demonstrações.</w:t>
            </w:r>
          </w:p>
        </w:tc>
        <w:tc>
          <w:tcPr>
            <w:tcW w:w="14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Backend</w:t>
            </w:r>
          </w:p>
        </w:tc>
        <w:tc>
          <w:tcPr>
            <w:tcW w:w="15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Entrega 2</w:t>
            </w:r>
          </w:p>
        </w:tc>
        <w:tc>
          <w:tcPr>
            <w:tcW w:w="135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Não iniciado</w:t>
            </w:r>
          </w:p>
        </w:tc>
      </w:tr>
      <w:tr>
        <w:trPr>
          <w:cantSplit w:val="1"/>
        </w:trPr>
        <w:tc>
          <w:tcPr>
            <w:tcW w:w="56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R13</w:t>
            </w:r>
          </w:p>
        </w:tc>
        <w:tc>
          <w:tcPr>
            <w:tcW w:w="125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Prevenir</w:t>
            </w:r>
          </w:p>
        </w:tc>
        <w:tc>
          <w:tcPr>
            <w:tcW w:w="3012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Implementar o MQTT somente com TLS, conta própria por parede, bloqueio de clientes anônimos e ACL restrita ao tópico da parede.</w:t>
            </w:r>
          </w:p>
        </w:tc>
        <w:tc>
          <w:tcPr>
            <w:tcW w:w="14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Firmware e Backend</w:t>
            </w:r>
          </w:p>
        </w:tc>
        <w:tc>
          <w:tcPr>
            <w:tcW w:w="15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Antes da integração MQTT</w:t>
            </w:r>
          </w:p>
        </w:tc>
        <w:tc>
          <w:tcPr>
            <w:tcW w:w="135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Não iniciado</w:t>
            </w:r>
          </w:p>
        </w:tc>
      </w:tr>
      <w:tr>
        <w:trPr>
          <w:cantSplit w:val="1"/>
        </w:trPr>
        <w:tc>
          <w:tcPr>
            <w:tcW w:w="56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R14</w:t>
            </w:r>
          </w:p>
        </w:tc>
        <w:tc>
          <w:tcPr>
            <w:tcW w:w="125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Mitigar</w:t>
            </w:r>
          </w:p>
        </w:tc>
        <w:tc>
          <w:tcPr>
            <w:tcW w:w="3012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Validar a detecção em etapas (um alvo, dois alvos lado a lado, matriz completa), calibrar o limiar de cada alvo e manter a comparação de picos na janela de 20 ms.</w:t>
            </w:r>
          </w:p>
        </w:tc>
        <w:tc>
          <w:tcPr>
            <w:tcW w:w="14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Firmware</w:t>
            </w:r>
          </w:p>
        </w:tc>
        <w:tc>
          <w:tcPr>
            <w:tcW w:w="15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Entrega 2</w:t>
            </w:r>
          </w:p>
        </w:tc>
        <w:tc>
          <w:tcPr>
            <w:tcW w:w="135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Em andamento</w:t>
            </w:r>
          </w:p>
        </w:tc>
      </w:tr>
      <w:tr>
        <w:trPr>
          <w:cantSplit w:val="1"/>
        </w:trPr>
        <w:tc>
          <w:tcPr>
            <w:tcW w:w="56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R15</w:t>
            </w:r>
          </w:p>
        </w:tc>
        <w:tc>
          <w:tcPr>
            <w:tcW w:w="125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Mitigar</w:t>
            </w:r>
          </w:p>
        </w:tc>
        <w:tc>
          <w:tcPr>
            <w:tcW w:w="3012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Tratar primeiro os riscos Extremos, dividir as ações por trilha, revisar o andamento semanalmente e cortar escopo secundário antes de adiar respostas de segurança.</w:t>
            </w:r>
          </w:p>
        </w:tc>
        <w:tc>
          <w:tcPr>
            <w:tcW w:w="14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Gerente de Projeto</w:t>
            </w:r>
          </w:p>
        </w:tc>
        <w:tc>
          <w:tcPr>
            <w:tcW w:w="15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Contínuo</w:t>
            </w:r>
          </w:p>
        </w:tc>
        <w:tc>
          <w:tcPr>
            <w:tcW w:w="135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Em andamento</w:t>
            </w:r>
          </w:p>
        </w:tc>
      </w:tr>
      <w:tr>
        <w:trPr>
          <w:cantSplit w:val="1"/>
        </w:trPr>
        <w:tc>
          <w:tcPr>
            <w:tcW w:w="56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R16</w:t>
            </w:r>
          </w:p>
        </w:tc>
        <w:tc>
          <w:tcPr>
            <w:tcW w:w="125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Aceitar (ativo)</w:t>
            </w:r>
          </w:p>
        </w:tc>
        <w:tc>
          <w:tcPr>
            <w:tcW w:w="3012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Manter relatórios, plano e código versionados no mesmo repositório para adaptação rápida e confirmar por escrito datas e formatos com os professores.</w:t>
            </w:r>
          </w:p>
        </w:tc>
        <w:tc>
          <w:tcPr>
            <w:tcW w:w="14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Gerente de Projeto</w:t>
            </w:r>
          </w:p>
        </w:tc>
        <w:tc>
          <w:tcPr>
            <w:tcW w:w="15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Contínuo</w:t>
            </w:r>
          </w:p>
        </w:tc>
        <w:tc>
          <w:tcPr>
            <w:tcW w:w="135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Em andamento</w:t>
            </w:r>
          </w:p>
        </w:tc>
      </w:tr>
      <w:tr>
        <w:trPr>
          <w:cantSplit w:val="1"/>
        </w:trPr>
        <w:tc>
          <w:tcPr>
            <w:tcW w:w="56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R17</w:t>
            </w:r>
          </w:p>
        </w:tc>
        <w:tc>
          <w:tcPr>
            <w:tcW w:w="125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Mitigar</w:t>
            </w:r>
          </w:p>
        </w:tc>
        <w:tc>
          <w:tcPr>
            <w:tcW w:w="3012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Usar somente contas fictícias nas demonstrações, coletar o mínimo de dados e limpar a base de teste após cada evento.</w:t>
            </w:r>
          </w:p>
        </w:tc>
        <w:tc>
          <w:tcPr>
            <w:tcW w:w="14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Backend e Aplicativo</w:t>
            </w:r>
          </w:p>
        </w:tc>
        <w:tc>
          <w:tcPr>
            <w:tcW w:w="15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Próxima demonstração</w:t>
            </w:r>
          </w:p>
        </w:tc>
        <w:tc>
          <w:tcPr>
            <w:tcW w:w="135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Não iniciado</w:t>
            </w:r>
          </w:p>
        </w:tc>
      </w:tr>
      <w:tr>
        <w:trPr>
          <w:cantSplit w:val="1"/>
        </w:trPr>
        <w:tc>
          <w:tcPr>
            <w:tcW w:w="56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R18</w:t>
            </w:r>
          </w:p>
        </w:tc>
        <w:tc>
          <w:tcPr>
            <w:tcW w:w="125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Aceitar (ativo)</w:t>
            </w:r>
          </w:p>
        </w:tc>
        <w:tc>
          <w:tcPr>
            <w:tcW w:w="3012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Manter como contingência o modo simulado do aplicativo e o eco Serial do firmware; avaliar a compra de uma segunda ESP32 como reserva.</w:t>
            </w:r>
          </w:p>
        </w:tc>
        <w:tc>
          <w:tcPr>
            <w:tcW w:w="14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Firmware</w:t>
            </w:r>
          </w:p>
        </w:tc>
        <w:tc>
          <w:tcPr>
            <w:tcW w:w="15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Contínuo</w:t>
            </w:r>
          </w:p>
        </w:tc>
        <w:tc>
          <w:tcPr>
            <w:tcW w:w="135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Em andamento</w:t>
            </w:r>
          </w:p>
        </w:tc>
      </w:tr>
      <w:tr>
        <w:trPr>
          <w:cantSplit w:val="1"/>
        </w:trPr>
        <w:tc>
          <w:tcPr>
            <w:tcW w:w="56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8"/>
                <w:szCs w:val="18"/>
              </w:rPr>
              <w:t xml:space="preserve">R19</w:t>
            </w:r>
          </w:p>
        </w:tc>
        <w:tc>
          <w:tcPr>
            <w:tcW w:w="125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Prevenir</w:t>
            </w:r>
          </w:p>
        </w:tc>
        <w:tc>
          <w:tcPr>
            <w:tcW w:w="3012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A parede cria a própria rede (SoftAP) e não depende do Wi-Fi do local. A senha dessa rede é tratada no R03.</w:t>
            </w:r>
          </w:p>
        </w:tc>
        <w:tc>
          <w:tcPr>
            <w:tcW w:w="14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Firmware</w:t>
            </w:r>
          </w:p>
        </w:tc>
        <w:tc>
          <w:tcPr>
            <w:tcW w:w="15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—</w:t>
            </w:r>
          </w:p>
        </w:tc>
        <w:tc>
          <w:tcPr>
            <w:tcW w:w="135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</w:rPr>
              <w:t xml:space="preserve">Concluído</w:t>
            </w:r>
          </w:p>
        </w:tc>
      </w:tr>
    </w:tbl>
    <w:p>
      <w:pPr>
        <w:keepNext w:val="1"/>
        <w:spacing w:after="60" w:before="80" w:lineRule="auto"/>
        <w:rPr/>
      </w:pPr>
      <w:r>
        <w:rPr>
          <w:rFonts w:ascii="Arial" w:cs="Arial" w:eastAsia="Arial" w:hAnsi="Arial"/>
          <w:b w:val="0"/>
          <w:bCs w:val="0"/>
          <w:color w:val="595959"/>
          <w:sz w:val="19"/>
          <w:szCs w:val="19"/>
        </w:rPr>
        <w:t xml:space="preserve">Quadro 9 - Localização dos riscos técnicos no código (relativa a src/Entrega1).</w:t>
      </w:r>
    </w:p>
    <w:tbl>
      <w:tblPr>
        <w:tblStyle w:val="Table2"/>
        <w:tblW w:w="9072" w:type="dxa"/>
        <w:jc w:val="center"/>
        <w:tblBorders>
          <w:top w:color="70ad47" w:space="0" w:sz="6" w:val="single"/>
          <w:left w:color="70ad47" w:space="0" w:sz="6" w:val="single"/>
          <w:bottom w:color="70ad47" w:space="0" w:sz="6" w:val="single"/>
          <w:right w:color="70ad47" w:space="0" w:sz="6" w:val="single"/>
          <w:insideH w:color="70ad47" w:space="0" w:sz="6" w:val="single"/>
          <w:insideV w:color="70ad47" w:space="0" w:sz="6" w:val="single"/>
        </w:tblBorders>
        <w:tblLayout w:type="fixed"/>
        <w:tblLook w:val="0400"/>
      </w:tblPr>
      <w:tblGrid>
        <w:gridCol w:w="900"/>
        <w:gridCol w:w="8172"/>
      </w:tblGrid>
      <w:tr>
        <w:trPr>
          <w:cantSplit w:val="1"/>
          <w:tblHeader w:val="1"/>
        </w:trPr>
        <w:tc>
          <w:tcPr>
            <w:tcW w:w="900" w:type="dxa"/>
            <w:shd w:fill="c6e0b4" w:val="clear"/>
            <w:tcMar>
              <w:top w:w="50" w:type="dxa"/>
              <w:bottom w:w="5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7"/>
                <w:szCs w:val="17"/>
              </w:rPr>
              <w:t xml:space="preserve">ID</w:t>
            </w:r>
          </w:p>
        </w:tc>
        <w:tc>
          <w:tcPr>
            <w:tcW w:w="8172" w:type="dxa"/>
            <w:shd w:fill="c6e0b4" w:val="clear"/>
            <w:tcMar>
              <w:top w:w="50" w:type="dxa"/>
              <w:bottom w:w="50" w:type="dxa"/>
            </w:tcMar>
            <w:vAlign w:val="center"/>
          </w:tcPr>
          <w:p>
            <w:pPr>
              <w:keepNext w:val="1"/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74e13"/>
                <w:sz w:val="17"/>
                <w:szCs w:val="17"/>
              </w:rPr>
              <w:t xml:space="preserve">Localização no código</w:t>
            </w:r>
          </w:p>
        </w:tc>
      </w:tr>
      <w:tr>
        <w:trPr>
          <w:cantSplit w:val="1"/>
        </w:trPr>
        <w:tc>
          <w:tcPr>
            <w:tcW w:w="9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7"/>
                <w:szCs w:val="17"/>
              </w:rPr>
              <w:t xml:space="preserve">R01</w:t>
            </w:r>
          </w:p>
        </w:tc>
        <w:tc>
          <w:tcPr>
            <w:tcW w:w="8172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f6b24"/>
                <w:sz w:val="17"/>
                <w:szCs w:val="17"/>
              </w:rPr>
              <w:t xml:space="preserve">frontend/src/config/env.ts:20-24</w:t>
            </w:r>
            <w:r>
              <w:rPr>
                <w:rFonts w:ascii="Arial" w:cs="Arial" w:eastAsia="Arial" w:hAnsi="Arial"/>
                <w:b w:val="0"/>
                <w:bCs w:val="0"/>
                <w:color w:val="242424"/>
                <w:sz w:val="17"/>
                <w:szCs w:val="17"/>
              </w:rPr>
              <w:t xml:space="preserve"> e </w:t>
            </w: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f6b24"/>
                <w:sz w:val="17"/>
                <w:szCs w:val="17"/>
              </w:rPr>
              <w:t xml:space="preserve">backend/src/main.ts:24</w:t>
            </w:r>
          </w:p>
        </w:tc>
      </w:tr>
      <w:tr>
        <w:trPr>
          <w:cantSplit w:val="1"/>
        </w:trPr>
        <w:tc>
          <w:tcPr>
            <w:tcW w:w="9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7"/>
                <w:szCs w:val="17"/>
              </w:rPr>
              <w:t xml:space="preserve">R02</w:t>
            </w:r>
          </w:p>
        </w:tc>
        <w:tc>
          <w:tcPr>
            <w:tcW w:w="8172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f6b24"/>
                <w:sz w:val="17"/>
                <w:szCs w:val="17"/>
              </w:rPr>
              <w:t xml:space="preserve">backend/firmware/smash_wall/wall_link.cpp:25-50</w:t>
            </w:r>
            <w:r>
              <w:rPr>
                <w:rFonts w:ascii="Arial" w:cs="Arial" w:eastAsia="Arial" w:hAnsi="Arial"/>
                <w:b w:val="0"/>
                <w:bCs w:val="0"/>
                <w:color w:val="242424"/>
                <w:sz w:val="17"/>
                <w:szCs w:val="17"/>
              </w:rPr>
              <w:t xml:space="preserve"> e </w:t>
            </w: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f6b24"/>
                <w:sz w:val="17"/>
                <w:szCs w:val="17"/>
              </w:rPr>
              <w:t xml:space="preserve">frontend/src/device/config.ts:4</w:t>
            </w:r>
          </w:p>
        </w:tc>
      </w:tr>
      <w:tr>
        <w:trPr>
          <w:cantSplit w:val="1"/>
        </w:trPr>
        <w:tc>
          <w:tcPr>
            <w:tcW w:w="9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7"/>
                <w:szCs w:val="17"/>
              </w:rPr>
              <w:t xml:space="preserve">R03</w:t>
            </w:r>
          </w:p>
        </w:tc>
        <w:tc>
          <w:tcPr>
            <w:tcW w:w="8172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f6b24"/>
                <w:sz w:val="17"/>
                <w:szCs w:val="17"/>
              </w:rPr>
              <w:t xml:space="preserve">backend/firmware/smash_wall/config.h:29-30</w:t>
            </w:r>
          </w:p>
        </w:tc>
      </w:tr>
      <w:tr>
        <w:trPr>
          <w:cantSplit w:val="1"/>
        </w:trPr>
        <w:tc>
          <w:tcPr>
            <w:tcW w:w="9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7"/>
                <w:szCs w:val="17"/>
              </w:rPr>
              <w:t xml:space="preserve">R04</w:t>
            </w:r>
          </w:p>
        </w:tc>
        <w:tc>
          <w:tcPr>
            <w:tcW w:w="8172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f6b24"/>
                <w:sz w:val="17"/>
                <w:szCs w:val="17"/>
              </w:rPr>
              <w:t xml:space="preserve">backend/src/presentation/http/sessions.controller.ts:18-25</w:t>
            </w:r>
            <w:r>
              <w:rPr>
                <w:rFonts w:ascii="Arial" w:cs="Arial" w:eastAsia="Arial" w:hAnsi="Arial"/>
                <w:b w:val="0"/>
                <w:bCs w:val="0"/>
                <w:color w:val="242424"/>
                <w:sz w:val="17"/>
                <w:szCs w:val="17"/>
              </w:rPr>
              <w:t xml:space="preserve"> e </w:t>
            </w: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f6b24"/>
                <w:sz w:val="17"/>
                <w:szCs w:val="17"/>
              </w:rPr>
              <w:t xml:space="preserve">backend/src/presentation/http/dto/record-session.dto.ts:17-28</w:t>
            </w:r>
          </w:p>
        </w:tc>
      </w:tr>
      <w:tr>
        <w:trPr>
          <w:cantSplit w:val="1"/>
        </w:trPr>
        <w:tc>
          <w:tcPr>
            <w:tcW w:w="9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7"/>
                <w:szCs w:val="17"/>
              </w:rPr>
              <w:t xml:space="preserve">R05</w:t>
            </w:r>
          </w:p>
        </w:tc>
        <w:tc>
          <w:tcPr>
            <w:tcW w:w="8172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f6b24"/>
                <w:sz w:val="17"/>
                <w:szCs w:val="17"/>
              </w:rPr>
              <w:t xml:space="preserve">backend/firmware/smash_wall/wall_link.cpp:22 e 38-50</w:t>
            </w:r>
          </w:p>
        </w:tc>
      </w:tr>
      <w:tr>
        <w:trPr>
          <w:cantSplit w:val="1"/>
        </w:trPr>
        <w:tc>
          <w:tcPr>
            <w:tcW w:w="9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7"/>
                <w:szCs w:val="17"/>
              </w:rPr>
              <w:t xml:space="preserve">R06</w:t>
            </w:r>
          </w:p>
        </w:tc>
        <w:tc>
          <w:tcPr>
            <w:tcW w:w="8172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f6b24"/>
                <w:sz w:val="17"/>
                <w:szCs w:val="17"/>
              </w:rPr>
              <w:t xml:space="preserve">backend/src/presentation/http/auth.controller.ts:8-25</w:t>
            </w:r>
          </w:p>
        </w:tc>
      </w:tr>
      <w:tr>
        <w:trPr>
          <w:cantSplit w:val="1"/>
        </w:trPr>
        <w:tc>
          <w:tcPr>
            <w:tcW w:w="9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7"/>
                <w:szCs w:val="17"/>
              </w:rPr>
              <w:t xml:space="preserve">R07</w:t>
            </w:r>
          </w:p>
        </w:tc>
        <w:tc>
          <w:tcPr>
            <w:tcW w:w="8172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f6b24"/>
                <w:sz w:val="17"/>
                <w:szCs w:val="17"/>
              </w:rPr>
              <w:t xml:space="preserve">backend/firmware/smash_wall/wall_protocol.cpp:65-67</w:t>
            </w:r>
          </w:p>
        </w:tc>
      </w:tr>
      <w:tr>
        <w:trPr>
          <w:cantSplit w:val="1"/>
        </w:trPr>
        <w:tc>
          <w:tcPr>
            <w:tcW w:w="9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7"/>
                <w:szCs w:val="17"/>
              </w:rPr>
              <w:t xml:space="preserve">R08</w:t>
            </w:r>
          </w:p>
        </w:tc>
        <w:tc>
          <w:tcPr>
            <w:tcW w:w="8172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f6b24"/>
                <w:sz w:val="17"/>
                <w:szCs w:val="17"/>
              </w:rPr>
              <w:t xml:space="preserve">backend/src/main.ts:19 e 24</w:t>
            </w:r>
          </w:p>
        </w:tc>
      </w:tr>
      <w:tr>
        <w:trPr>
          <w:cantSplit w:val="1"/>
        </w:trPr>
        <w:tc>
          <w:tcPr>
            <w:tcW w:w="9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7"/>
                <w:szCs w:val="17"/>
              </w:rPr>
              <w:t xml:space="preserve">R09</w:t>
            </w:r>
          </w:p>
        </w:tc>
        <w:tc>
          <w:tcPr>
            <w:tcW w:w="8172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f6b24"/>
                <w:sz w:val="17"/>
                <w:szCs w:val="17"/>
              </w:rPr>
              <w:t xml:space="preserve">backend/src/infrastructure/database/database.config.ts:13-17</w:t>
            </w:r>
          </w:p>
        </w:tc>
      </w:tr>
      <w:tr>
        <w:trPr>
          <w:cantSplit w:val="1"/>
        </w:trPr>
        <w:tc>
          <w:tcPr>
            <w:tcW w:w="9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7"/>
                <w:szCs w:val="17"/>
              </w:rPr>
              <w:t xml:space="preserve">R10</w:t>
            </w:r>
          </w:p>
        </w:tc>
        <w:tc>
          <w:tcPr>
            <w:tcW w:w="8172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f6b24"/>
                <w:sz w:val="17"/>
                <w:szCs w:val="17"/>
              </w:rPr>
              <w:t xml:space="preserve">backend/src/infrastructure/infrastructure.module.ts:65</w:t>
            </w:r>
            <w:r>
              <w:rPr>
                <w:rFonts w:ascii="Arial" w:cs="Arial" w:eastAsia="Arial" w:hAnsi="Arial"/>
                <w:b w:val="0"/>
                <w:bCs w:val="0"/>
                <w:color w:val="242424"/>
                <w:sz w:val="17"/>
                <w:szCs w:val="17"/>
              </w:rPr>
              <w:t xml:space="preserve"> e </w:t>
            </w: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f6b24"/>
                <w:sz w:val="17"/>
                <w:szCs w:val="17"/>
              </w:rPr>
              <w:t xml:space="preserve">backend/.env.example:8</w:t>
            </w:r>
          </w:p>
        </w:tc>
      </w:tr>
      <w:tr>
        <w:trPr>
          <w:cantSplit w:val="1"/>
        </w:trPr>
        <w:tc>
          <w:tcPr>
            <w:tcW w:w="9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7"/>
                <w:szCs w:val="17"/>
              </w:rPr>
              <w:t xml:space="preserve">R11</w:t>
            </w:r>
          </w:p>
        </w:tc>
        <w:tc>
          <w:tcPr>
            <w:tcW w:w="8172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f6b24"/>
                <w:sz w:val="17"/>
                <w:szCs w:val="17"/>
              </w:rPr>
              <w:t xml:space="preserve">backend/package.json</w:t>
            </w:r>
            <w:r>
              <w:rPr>
                <w:rFonts w:ascii="Arial" w:cs="Arial" w:eastAsia="Arial" w:hAnsi="Arial"/>
                <w:b w:val="0"/>
                <w:bCs w:val="0"/>
                <w:color w:val="242424"/>
                <w:sz w:val="17"/>
                <w:szCs w:val="17"/>
              </w:rPr>
              <w:t xml:space="preserve"> e </w:t>
            </w: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f6b24"/>
                <w:sz w:val="17"/>
                <w:szCs w:val="17"/>
              </w:rPr>
              <w:t xml:space="preserve">frontend/package.json</w:t>
            </w:r>
            <w:r>
              <w:rPr>
                <w:rFonts w:ascii="Arial" w:cs="Arial" w:eastAsia="Arial" w:hAnsi="Arial"/>
                <w:b w:val="0"/>
                <w:bCs w:val="0"/>
                <w:color w:val="242424"/>
                <w:sz w:val="17"/>
                <w:szCs w:val="17"/>
              </w:rPr>
              <w:t xml:space="preserve"> (npm audit --omit=dev em 12/09/2026: 9 alertas no backend e 18 moderados no frontend)</w:t>
            </w:r>
          </w:p>
        </w:tc>
      </w:tr>
      <w:tr>
        <w:trPr>
          <w:cantSplit w:val="1"/>
        </w:trPr>
        <w:tc>
          <w:tcPr>
            <w:tcW w:w="9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7"/>
                <w:szCs w:val="17"/>
              </w:rPr>
              <w:t xml:space="preserve">R12</w:t>
            </w:r>
          </w:p>
        </w:tc>
        <w:tc>
          <w:tcPr>
            <w:tcW w:w="8172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7"/>
                <w:szCs w:val="17"/>
              </w:rPr>
              <w:t xml:space="preserve">Registro apenas no Serial, em </w:t>
            </w: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f6b24"/>
                <w:sz w:val="17"/>
                <w:szCs w:val="17"/>
              </w:rPr>
              <w:t xml:space="preserve">backend/firmware/smash_wall/wall_link.cpp:30 e 35</w:t>
            </w:r>
          </w:p>
        </w:tc>
      </w:tr>
      <w:tr>
        <w:trPr>
          <w:cantSplit w:val="1"/>
        </w:trPr>
        <w:tc>
          <w:tcPr>
            <w:tcW w:w="9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7"/>
                <w:szCs w:val="17"/>
              </w:rPr>
              <w:t xml:space="preserve">R13</w:t>
            </w:r>
          </w:p>
        </w:tc>
        <w:tc>
          <w:tcPr>
            <w:tcW w:w="8172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7"/>
                <w:szCs w:val="17"/>
              </w:rPr>
              <w:t xml:space="preserve">Sem integração MQTT em </w:t>
            </w: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f6b24"/>
                <w:sz w:val="17"/>
                <w:szCs w:val="17"/>
              </w:rPr>
              <w:t xml:space="preserve">backend/src</w:t>
            </w:r>
            <w:r>
              <w:rPr>
                <w:rFonts w:ascii="Arial" w:cs="Arial" w:eastAsia="Arial" w:hAnsi="Arial"/>
                <w:b w:val="0"/>
                <w:bCs w:val="0"/>
                <w:color w:val="242424"/>
                <w:sz w:val="17"/>
                <w:szCs w:val="17"/>
              </w:rPr>
              <w:t xml:space="preserve"> nem em </w:t>
            </w: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f6b24"/>
                <w:sz w:val="17"/>
                <w:szCs w:val="17"/>
              </w:rPr>
              <w:t xml:space="preserve">backend/firmware/smash_wall</w:t>
            </w:r>
          </w:p>
        </w:tc>
      </w:tr>
      <w:tr>
        <w:trPr>
          <w:cantSplit w:val="1"/>
        </w:trPr>
        <w:tc>
          <w:tcPr>
            <w:tcW w:w="9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7"/>
                <w:szCs w:val="17"/>
              </w:rPr>
              <w:t xml:space="preserve">R14</w:t>
            </w:r>
          </w:p>
        </w:tc>
        <w:tc>
          <w:tcPr>
            <w:tcW w:w="8172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7"/>
                <w:szCs w:val="17"/>
              </w:rPr>
              <w:t xml:space="preserve">Resposta parcial em </w:t>
            </w: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f6b24"/>
                <w:sz w:val="17"/>
                <w:szCs w:val="17"/>
              </w:rPr>
              <w:t xml:space="preserve">backend/firmware/smash_wall/config.h:53-63 e 70</w:t>
            </w:r>
            <w:r>
              <w:rPr>
                <w:rFonts w:ascii="Arial" w:cs="Arial" w:eastAsia="Arial" w:hAnsi="Arial"/>
                <w:b w:val="0"/>
                <w:bCs w:val="0"/>
                <w:color w:val="242424"/>
                <w:sz w:val="17"/>
                <w:szCs w:val="17"/>
              </w:rPr>
              <w:t xml:space="preserve"> (limiar por alvo e janela de pico)</w:t>
            </w:r>
          </w:p>
        </w:tc>
      </w:tr>
      <w:tr>
        <w:trPr>
          <w:cantSplit w:val="1"/>
        </w:trPr>
        <w:tc>
          <w:tcPr>
            <w:tcW w:w="900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7"/>
                <w:szCs w:val="17"/>
              </w:rPr>
              <w:t xml:space="preserve">R18</w:t>
            </w:r>
          </w:p>
        </w:tc>
        <w:tc>
          <w:tcPr>
            <w:tcW w:w="8172" w:type="dxa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7"/>
                <w:szCs w:val="17"/>
              </w:rPr>
              <w:t xml:space="preserve">Contingência em </w:t>
            </w: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f6b24"/>
                <w:sz w:val="17"/>
                <w:szCs w:val="17"/>
              </w:rPr>
              <w:t xml:space="preserve">frontend/src/device/config.ts:7</w:t>
            </w:r>
            <w:r>
              <w:rPr>
                <w:rFonts w:ascii="Arial" w:cs="Arial" w:eastAsia="Arial" w:hAnsi="Arial"/>
                <w:b w:val="0"/>
                <w:bCs w:val="0"/>
                <w:color w:val="242424"/>
                <w:sz w:val="17"/>
                <w:szCs w:val="17"/>
              </w:rPr>
              <w:t xml:space="preserve"> e </w:t>
            </w: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f6b24"/>
                <w:sz w:val="17"/>
                <w:szCs w:val="17"/>
              </w:rPr>
              <w:t xml:space="preserve">backend/firmware/smash_wall/config.h:92</w:t>
            </w:r>
          </w:p>
        </w:tc>
      </w:tr>
      <w:tr>
        <w:trPr>
          <w:cantSplit w:val="1"/>
        </w:trPr>
        <w:tc>
          <w:tcPr>
            <w:tcW w:w="900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242424"/>
                <w:sz w:val="17"/>
                <w:szCs w:val="17"/>
              </w:rPr>
              <w:t xml:space="preserve">R19</w:t>
            </w:r>
          </w:p>
        </w:tc>
        <w:tc>
          <w:tcPr>
            <w:tcW w:w="8172" w:type="dxa"/>
            <w:shd w:fill="f1f7ea" w:val="clear"/>
            <w:tcMar>
              <w:top w:w="50" w:type="dxa"/>
              <w:bottom w:w="50" w:type="dxa"/>
            </w:tcMar>
            <w:vAlign w:val="center"/>
          </w:tcPr>
          <w:p>
            <w:pPr>
              <w:spacing w:after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242424"/>
                <w:sz w:val="17"/>
                <w:szCs w:val="17"/>
              </w:rPr>
              <w:t xml:space="preserve">Resposta implementada em </w:t>
            </w: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f6b24"/>
                <w:sz w:val="17"/>
                <w:szCs w:val="17"/>
              </w:rPr>
              <w:t xml:space="preserve">backend/firmware/smash_wall/config.h:19</w:t>
            </w:r>
          </w:p>
        </w:tc>
      </w:tr>
    </w:tbl>
    <w:sectPr>
      <w:headerReference r:id="rId6" w:type="default"/>
      <w:footerReference r:id="rId7" w:type="default"/>
      <w:pgSz w:h="16838" w:w="11906" w:orient="portrait"/>
      <w:pgMar w:bottom="1134" w:top="1247" w:left="1417" w:right="1417" w:header="720" w:footer="720" w:gut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widowControl w:val="1"/>
      <w:pBdr>
        <w:top w:color="70ad47" w:space="5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8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4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Smash - Redes de Computadores e Cibersegurança - Entrega 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4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95959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42424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2f6b24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2f6b2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2f6b24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242424"/>
      <w:sz w:val="30"/>
      <w:szCs w:val="3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