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Malgun Gothic" w:hAnsi="Malgun Gothic" w:eastAsia="Malgun Gothic"/>
          <w:b/>
          <w:color w:val="2E74B5"/>
          <w:sz w:val="18"/>
        </w:rPr>
        <w:t>운영 가이드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/>
          <w:color w:val="142130"/>
          <w:sz w:val="46"/>
        </w:rPr>
        <w:t>해커톤 현장 멘토링 가이드</w:t>
      </w:r>
    </w:p>
    <w:p>
      <w:pPr>
        <w:spacing w:before="0" w:after="240" w:line="264" w:lineRule="auto"/>
        <w:pBdr>
          <w:bottom w:val="single" w:sz="12" w:space="4" w:color="2E74B5"/>
        </w:pBdr>
      </w:pPr>
      <w:r>
        <w:rPr>
          <w:rFonts w:ascii="Malgun Gothic" w:hAnsi="Malgun Gothic" w:eastAsia="Malgun Gothic"/>
          <w:b w:val="0"/>
          <w:color w:val="5C6773"/>
          <w:sz w:val="23"/>
        </w:rPr>
        <w:t>참가팀 지원을 위한 동반 자료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발행: </w:t>
      </w:r>
      <w:r>
        <w:rPr>
          <w:rFonts w:ascii="Malgun Gothic" w:hAnsi="Malgun Gothic" w:eastAsia="Malgun Gothic"/>
          <w:b w:val="0"/>
          <w:sz w:val="21"/>
        </w:rPr>
        <w:t>미래디지털안전연구원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적용 행사: </w:t>
      </w:r>
      <w:r>
        <w:rPr>
          <w:rFonts w:ascii="Malgun Gothic" w:hAnsi="Malgun Gothic" w:eastAsia="Malgun Gothic"/>
          <w:b w:val="0"/>
          <w:sz w:val="21"/>
        </w:rPr>
        <w:t>2026 청소년 사이버안전 해커톤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적용일: </w:t>
      </w:r>
      <w:r>
        <w:rPr>
          <w:rFonts w:ascii="Malgun Gothic" w:hAnsi="Malgun Gothic" w:eastAsia="Malgun Gothic"/>
          <w:b w:val="0"/>
          <w:sz w:val="21"/>
        </w:rPr>
        <w:t>2026년 8월 20일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대상: </w:t>
      </w:r>
      <w:r>
        <w:rPr>
          <w:rFonts w:ascii="Malgun Gothic" w:hAnsi="Malgun Gothic" w:eastAsia="Malgun Gothic"/>
          <w:b w:val="0"/>
          <w:sz w:val="21"/>
        </w:rPr>
        <w:t>기술 멘토 및 운영진</w:t>
      </w:r>
    </w:p>
    <w:p>
      <w:pPr>
        <w:pStyle w:val="Heading1"/>
      </w:pPr>
      <w:r>
        <w:t>멘토 역할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본 가이드는 2026 청소년 사이버안전 해커톤 현장에서 참가팀을 지원하는 기술 멘토의 동반 자료이다.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멘토는 정답을 대신 제시하지 않고 팀이 사전교육에서 작성한 위협 모델을 시제품 설계에 적용하도록 질문한다.</w:t>
      </w:r>
    </w:p>
    <w:p>
      <w:pPr>
        <w:pStyle w:val="Heading1"/>
      </w:pPr>
      <w:r>
        <w:t>검토 기준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멘토는 문제 정의의 명확성, 개인정보 최소 수집, 인증 실패 처리, 시연 가능성을 점검한다.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중간 점검 결과는 미래디지털안전연구원 운영본부에 전달하며 최종 심사 점수에는 직접 반영하지 않는다.</w:t>
      </w:r>
    </w:p>
    <w:p>
      <w:pPr>
        <w:spacing w:before="200" w:after="0" w:line="264" w:lineRule="auto"/>
      </w:pPr>
      <w:r>
        <w:rPr>
          <w:rFonts w:ascii="Malgun Gothic" w:hAnsi="Malgun Gothic" w:eastAsia="Malgun Gothic"/>
          <w:b w:val="0"/>
          <w:color w:val="5C6773"/>
          <w:sz w:val="18"/>
        </w:rPr>
        <w:t>문서 식별 메모: 이 파일의 제목, 기관명, 행사명과 문장 단위 근거를 관계 그래프 시연에 사용할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C6773"/>
        <w:sz w:val="16"/>
      </w:rPr>
      <w:t>시연용으로 제작된 합성 문서 - 실제 기관 또는 행사와 무관함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C6773"/>
        <w:sz w:val="17"/>
      </w:rPr>
      <w:t>RELATIONSHIP GRAPH DEMO  |  SYNTHETIC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