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TabICLv2와 RCTL 연구 재설계의 현재 근거</w:t>
      </w:r>
    </w:p>
    <w:p>
      <w:pPr>
        <w:spacing w:line="250" w:lineRule="exact" w:after="120"/>
      </w:pPr>
      <w:r>
        <w:rPr>
          <w:sz w:val="18"/>
        </w:rPr>
        <w:t>교수님 검토용 중간 보고  2026년 9월 26일</w:t>
      </w:r>
    </w:p>
    <w:p>
      <w:r>
        <w:t>TabICLv2의 직접 예측에는 긍정적인 결과가 있습니다. 그러나 이 예측을 이용해 RCTL이 함께 학습할 cell을 고르는 방법은 아직 개선 근거를 확보하지 못했습니다. 이번 문서는 최신 비교 결과를 반영하여 두 판단을 구별하고, 연구 방향을 확정하기 위해 남은 조건을 정리한 중간 검토본입니다.</w:t>
      </w:r>
    </w:p>
    <w:p>
      <w:pPr>
        <w:pStyle w:val="Heading1"/>
      </w:pPr>
      <w:r>
        <w:t>1 실제로 같은 context에 넣어 비교한 결과</w:t>
      </w:r>
    </w:p>
    <w:p>
      <w:r>
        <w:t>Milan Internet activity의 기존 16개 cell을 사용했습니다. 최근 8시간, 전일·전주 같은 시점, 최근 24시간 평균·표준편차, 시각·요일을 입력으로 주었습니다. 모든 방법은 같은 학습 기간과 이후 연속 14일의 입력을 사용했습니다. 시간 흐름을 나타내는 정보가 포함된 비교입니다. [실행101]</w:t>
      </w:r>
    </w:p>
    <w:p>
      <w:r>
        <w:t>아래의 두 K4 구성은 각각 4개 cell씩 4개 cluster입니다. 소속은 기존 검사에서 고정한 뒤 바꾸지 않았습니다. TabICLv2에는 해당 cluster의 실제 sample을 함께 제공했습니다. 표의 값은 정규화한 활동량의 cell 평균 MAE이며 작을수록 좋습니다.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1984"/>
        <w:gridCol w:w="2268"/>
        <w:gridCol w:w="2551"/>
      </w:tblGrid>
      <w:tr>
        <w:trPr>
          <w:tblHeader/>
          <w:cantSplit/>
        </w:trPr>
        <w:tc>
          <w:tcPr>
            <w:tcW w:type="dxa" w:w="2721"/>
            <w:vAlign w:val="center"/>
            <w:tcMar>
              <w:top w:w="85" w:type="dxa"/>
              <w:bottom w:w="85" w:type="dxa"/>
              <w:left w:w="95" w:type="dxa"/>
              <w:right w:w="95" w:type="dxa"/>
            </w:tcMar>
            <w:shd w:fill="F2F2F2"/>
          </w:tcPr>
          <w:p>
            <w:pPr>
              <w:keepNext/>
              <w:spacing w:after="0" w:line="260" w:lineRule="exact"/>
            </w:pPr>
            <w:r>
              <w:rPr>
                <w:b/>
                <w:sz w:val="19"/>
              </w:rPr>
              <w:t>예측기</w:t>
            </w:r>
          </w:p>
        </w:tc>
        <w:tc>
          <w:tcPr>
            <w:tcW w:type="dxa" w:w="1984"/>
            <w:vAlign w:val="center"/>
            <w:tcMar>
              <w:top w:w="85" w:type="dxa"/>
              <w:bottom w:w="85" w:type="dxa"/>
              <w:left w:w="95" w:type="dxa"/>
              <w:right w:w="95" w:type="dxa"/>
            </w:tcMar>
            <w:shd w:fill="F2F2F2"/>
          </w:tcPr>
          <w:p>
            <w:pPr>
              <w:keepNext/>
              <w:spacing w:after="0" w:line="260" w:lineRule="exact"/>
            </w:pPr>
            <w:r>
              <w:rPr>
                <w:b/>
                <w:sz w:val="19"/>
              </w:rPr>
              <w:t>Global K1</w:t>
            </w:r>
          </w:p>
        </w:tc>
        <w:tc>
          <w:tcPr>
            <w:tcW w:type="dxa" w:w="2268"/>
            <w:vAlign w:val="center"/>
            <w:tcMar>
              <w:top w:w="85" w:type="dxa"/>
              <w:bottom w:w="85" w:type="dxa"/>
              <w:left w:w="95" w:type="dxa"/>
              <w:right w:w="95" w:type="dxa"/>
            </w:tcMar>
            <w:shd w:fill="F2F2F2"/>
          </w:tcPr>
          <w:p>
            <w:pPr>
              <w:keepNext/>
              <w:spacing w:after="0" w:line="260" w:lineRule="exact"/>
            </w:pPr>
            <w:r>
              <w:rPr>
                <w:b/>
                <w:sz w:val="19"/>
              </w:rPr>
              <w:t>Tab risk K4</w:t>
            </w:r>
          </w:p>
        </w:tc>
        <w:tc>
          <w:tcPr>
            <w:tcW w:type="dxa" w:w="2551"/>
            <w:vAlign w:val="center"/>
            <w:tcMar>
              <w:top w:w="85" w:type="dxa"/>
              <w:bottom w:w="85" w:type="dxa"/>
              <w:left w:w="95" w:type="dxa"/>
              <w:right w:w="95" w:type="dxa"/>
            </w:tcMar>
            <w:shd w:fill="F2F2F2"/>
          </w:tcPr>
          <w:p>
            <w:pPr>
              <w:keepNext/>
              <w:spacing w:after="0" w:line="260" w:lineRule="exact"/>
            </w:pPr>
            <w:r>
              <w:rPr>
                <w:b/>
                <w:sz w:val="19"/>
              </w:rPr>
              <w:t>관측값 risk K4</w:t>
            </w:r>
          </w:p>
        </w:tc>
      </w:tr>
      <w:tr>
        <w:trPr>
          <w:cantSplit/>
        </w:trPr>
        <w:tc>
          <w:tcPr>
            <w:tcW w:type="dxa" w:w="2721"/>
            <w:vAlign w:val="center"/>
            <w:tcMar>
              <w:top w:w="85" w:type="dxa"/>
              <w:bottom w:w="85" w:type="dxa"/>
              <w:left w:w="95" w:type="dxa"/>
              <w:right w:w="95" w:type="dxa"/>
            </w:tcMar>
          </w:tcPr>
          <w:p>
            <w:pPr>
              <w:spacing w:after="0" w:line="260" w:lineRule="exact"/>
            </w:pPr>
            <w:r>
              <w:rPr>
                <w:b w:val="0"/>
                <w:sz w:val="19"/>
              </w:rPr>
              <w:t>TabICLv2</w:t>
            </w:r>
          </w:p>
        </w:tc>
        <w:tc>
          <w:tcPr>
            <w:tcW w:type="dxa" w:w="1984"/>
            <w:vAlign w:val="center"/>
            <w:tcMar>
              <w:top w:w="85" w:type="dxa"/>
              <w:bottom w:w="85" w:type="dxa"/>
              <w:left w:w="95" w:type="dxa"/>
              <w:right w:w="95" w:type="dxa"/>
            </w:tcMar>
          </w:tcPr>
          <w:p>
            <w:pPr>
              <w:spacing w:after="0" w:line="260" w:lineRule="exact"/>
            </w:pPr>
            <w:r>
              <w:rPr>
                <w:b w:val="0"/>
                <w:sz w:val="19"/>
              </w:rPr>
              <w:t>0.06618</w:t>
            </w:r>
          </w:p>
        </w:tc>
        <w:tc>
          <w:tcPr>
            <w:tcW w:type="dxa" w:w="2268"/>
            <w:vAlign w:val="center"/>
            <w:tcMar>
              <w:top w:w="85" w:type="dxa"/>
              <w:bottom w:w="85" w:type="dxa"/>
              <w:left w:w="95" w:type="dxa"/>
              <w:right w:w="95" w:type="dxa"/>
            </w:tcMar>
          </w:tcPr>
          <w:p>
            <w:pPr>
              <w:spacing w:after="0" w:line="260" w:lineRule="exact"/>
            </w:pPr>
            <w:r>
              <w:rPr>
                <w:b w:val="0"/>
                <w:sz w:val="19"/>
              </w:rPr>
              <w:t>0.07325</w:t>
            </w:r>
          </w:p>
        </w:tc>
        <w:tc>
          <w:tcPr>
            <w:tcW w:type="dxa" w:w="2551"/>
            <w:vAlign w:val="center"/>
            <w:tcMar>
              <w:top w:w="85" w:type="dxa"/>
              <w:bottom w:w="85" w:type="dxa"/>
              <w:left w:w="95" w:type="dxa"/>
              <w:right w:w="95" w:type="dxa"/>
            </w:tcMar>
          </w:tcPr>
          <w:p>
            <w:pPr>
              <w:spacing w:after="0" w:line="260" w:lineRule="exact"/>
            </w:pPr>
            <w:r>
              <w:rPr>
                <w:b w:val="0"/>
                <w:sz w:val="19"/>
              </w:rPr>
              <w:t>0.07541</w:t>
            </w:r>
          </w:p>
        </w:tc>
      </w:tr>
      <w:tr>
        <w:trPr>
          <w:cantSplit/>
        </w:trPr>
        <w:tc>
          <w:tcPr>
            <w:tcW w:type="dxa" w:w="2721"/>
            <w:vAlign w:val="center"/>
            <w:tcMar>
              <w:top w:w="85" w:type="dxa"/>
              <w:bottom w:w="85" w:type="dxa"/>
              <w:left w:w="95" w:type="dxa"/>
              <w:right w:w="95" w:type="dxa"/>
            </w:tcMar>
          </w:tcPr>
          <w:p>
            <w:pPr>
              <w:spacing w:after="0" w:line="260" w:lineRule="exact"/>
            </w:pPr>
            <w:r>
              <w:rPr>
                <w:b w:val="0"/>
                <w:sz w:val="19"/>
              </w:rPr>
              <w:t>Ridge</w:t>
            </w:r>
          </w:p>
        </w:tc>
        <w:tc>
          <w:tcPr>
            <w:tcW w:type="dxa" w:w="1984"/>
            <w:vAlign w:val="center"/>
            <w:tcMar>
              <w:top w:w="85" w:type="dxa"/>
              <w:bottom w:w="85" w:type="dxa"/>
              <w:left w:w="95" w:type="dxa"/>
              <w:right w:w="95" w:type="dxa"/>
            </w:tcMar>
          </w:tcPr>
          <w:p>
            <w:pPr>
              <w:spacing w:after="0" w:line="260" w:lineRule="exact"/>
            </w:pPr>
            <w:r>
              <w:rPr>
                <w:b w:val="0"/>
                <w:sz w:val="19"/>
              </w:rPr>
              <w:t>0.07923</w:t>
            </w:r>
          </w:p>
        </w:tc>
        <w:tc>
          <w:tcPr>
            <w:tcW w:type="dxa" w:w="2268"/>
            <w:vAlign w:val="center"/>
            <w:tcMar>
              <w:top w:w="85" w:type="dxa"/>
              <w:bottom w:w="85" w:type="dxa"/>
              <w:left w:w="95" w:type="dxa"/>
              <w:right w:w="95" w:type="dxa"/>
            </w:tcMar>
          </w:tcPr>
          <w:p>
            <w:pPr>
              <w:spacing w:after="0" w:line="260" w:lineRule="exact"/>
            </w:pPr>
            <w:r>
              <w:rPr>
                <w:b w:val="0"/>
                <w:sz w:val="19"/>
              </w:rPr>
              <w:t>0.08679</w:t>
            </w:r>
          </w:p>
        </w:tc>
        <w:tc>
          <w:tcPr>
            <w:tcW w:type="dxa" w:w="2551"/>
            <w:vAlign w:val="center"/>
            <w:tcMar>
              <w:top w:w="85" w:type="dxa"/>
              <w:bottom w:w="85" w:type="dxa"/>
              <w:left w:w="95" w:type="dxa"/>
              <w:right w:w="95" w:type="dxa"/>
            </w:tcMar>
          </w:tcPr>
          <w:p>
            <w:pPr>
              <w:spacing w:after="0" w:line="260" w:lineRule="exact"/>
            </w:pPr>
            <w:r>
              <w:rPr>
                <w:b w:val="0"/>
                <w:sz w:val="19"/>
              </w:rPr>
              <w:t>0.08244</w:t>
            </w:r>
          </w:p>
        </w:tc>
      </w:tr>
      <w:tr>
        <w:trPr>
          <w:cantSplit/>
        </w:trPr>
        <w:tc>
          <w:tcPr>
            <w:tcW w:type="dxa" w:w="2721"/>
            <w:vAlign w:val="center"/>
            <w:tcMar>
              <w:top w:w="85" w:type="dxa"/>
              <w:bottom w:w="85" w:type="dxa"/>
              <w:left w:w="95" w:type="dxa"/>
              <w:right w:w="95" w:type="dxa"/>
            </w:tcMar>
          </w:tcPr>
          <w:p>
            <w:pPr>
              <w:spacing w:after="0" w:line="260" w:lineRule="exact"/>
            </w:pPr>
            <w:r>
              <w:rPr>
                <w:b w:val="0"/>
                <w:sz w:val="19"/>
              </w:rPr>
              <w:t>HGB</w:t>
            </w:r>
          </w:p>
        </w:tc>
        <w:tc>
          <w:tcPr>
            <w:tcW w:type="dxa" w:w="1984"/>
            <w:vAlign w:val="center"/>
            <w:tcMar>
              <w:top w:w="85" w:type="dxa"/>
              <w:bottom w:w="85" w:type="dxa"/>
              <w:left w:w="95" w:type="dxa"/>
              <w:right w:w="95" w:type="dxa"/>
            </w:tcMar>
          </w:tcPr>
          <w:p>
            <w:pPr>
              <w:spacing w:after="0" w:line="260" w:lineRule="exact"/>
            </w:pPr>
            <w:r>
              <w:rPr>
                <w:b w:val="0"/>
                <w:sz w:val="19"/>
              </w:rPr>
              <w:t>0.07157</w:t>
            </w:r>
          </w:p>
        </w:tc>
        <w:tc>
          <w:tcPr>
            <w:tcW w:type="dxa" w:w="2268"/>
            <w:vAlign w:val="center"/>
            <w:tcMar>
              <w:top w:w="85" w:type="dxa"/>
              <w:bottom w:w="85" w:type="dxa"/>
              <w:left w:w="95" w:type="dxa"/>
              <w:right w:w="95" w:type="dxa"/>
            </w:tcMar>
          </w:tcPr>
          <w:p>
            <w:pPr>
              <w:spacing w:after="0" w:line="260" w:lineRule="exact"/>
            </w:pPr>
            <w:r>
              <w:rPr>
                <w:b w:val="0"/>
                <w:sz w:val="19"/>
              </w:rPr>
              <w:t>0.09170</w:t>
            </w:r>
          </w:p>
        </w:tc>
        <w:tc>
          <w:tcPr>
            <w:tcW w:type="dxa" w:w="2551"/>
            <w:vAlign w:val="center"/>
            <w:tcMar>
              <w:top w:w="85" w:type="dxa"/>
              <w:bottom w:w="85" w:type="dxa"/>
              <w:left w:w="95" w:type="dxa"/>
              <w:right w:w="95" w:type="dxa"/>
            </w:tcMar>
          </w:tcPr>
          <w:p>
            <w:pPr>
              <w:spacing w:after="0" w:line="260" w:lineRule="exact"/>
            </w:pPr>
            <w:r>
              <w:rPr>
                <w:b w:val="0"/>
                <w:sz w:val="19"/>
              </w:rPr>
              <w:t>0.08460</w:t>
            </w:r>
          </w:p>
        </w:tc>
      </w:tr>
      <w:tr>
        <w:trPr>
          <w:cantSplit/>
        </w:trPr>
        <w:tc>
          <w:tcPr>
            <w:tcW w:type="dxa" w:w="2721"/>
            <w:vAlign w:val="center"/>
            <w:tcMar>
              <w:top w:w="85" w:type="dxa"/>
              <w:bottom w:w="85" w:type="dxa"/>
              <w:left w:w="95" w:type="dxa"/>
              <w:right w:w="95" w:type="dxa"/>
            </w:tcMar>
          </w:tcPr>
          <w:p>
            <w:pPr>
              <w:spacing w:after="0" w:line="260" w:lineRule="exact"/>
            </w:pPr>
            <w:r>
              <w:rPr>
                <w:b w:val="0"/>
                <w:sz w:val="19"/>
              </w:rPr>
              <w:t>RCTL 첫 seed</w:t>
            </w:r>
          </w:p>
        </w:tc>
        <w:tc>
          <w:tcPr>
            <w:tcW w:type="dxa" w:w="1984"/>
            <w:vAlign w:val="center"/>
            <w:tcMar>
              <w:top w:w="85" w:type="dxa"/>
              <w:bottom w:w="85" w:type="dxa"/>
              <w:left w:w="95" w:type="dxa"/>
              <w:right w:w="95" w:type="dxa"/>
            </w:tcMar>
          </w:tcPr>
          <w:p>
            <w:pPr>
              <w:spacing w:after="0" w:line="260" w:lineRule="exact"/>
            </w:pPr>
            <w:r>
              <w:rPr>
                <w:b w:val="0"/>
                <w:sz w:val="19"/>
              </w:rPr>
              <w:t>0.07287</w:t>
            </w:r>
          </w:p>
        </w:tc>
        <w:tc>
          <w:tcPr>
            <w:tcW w:type="dxa" w:w="2268"/>
            <w:vAlign w:val="center"/>
            <w:tcMar>
              <w:top w:w="85" w:type="dxa"/>
              <w:bottom w:w="85" w:type="dxa"/>
              <w:left w:w="95" w:type="dxa"/>
              <w:right w:w="95" w:type="dxa"/>
            </w:tcMar>
          </w:tcPr>
          <w:p>
            <w:pPr>
              <w:spacing w:after="0" w:line="260" w:lineRule="exact"/>
            </w:pPr>
            <w:r>
              <w:rPr>
                <w:b w:val="0"/>
                <w:sz w:val="19"/>
              </w:rPr>
              <w:t>0.08600</w:t>
            </w:r>
          </w:p>
        </w:tc>
        <w:tc>
          <w:tcPr>
            <w:tcW w:type="dxa" w:w="2551"/>
            <w:vAlign w:val="center"/>
            <w:tcMar>
              <w:top w:w="85" w:type="dxa"/>
              <w:bottom w:w="85" w:type="dxa"/>
              <w:left w:w="95" w:type="dxa"/>
              <w:right w:w="95" w:type="dxa"/>
            </w:tcMar>
          </w:tcPr>
          <w:p>
            <w:pPr>
              <w:spacing w:after="0" w:line="260" w:lineRule="exact"/>
            </w:pPr>
            <w:r>
              <w:rPr>
                <w:b w:val="0"/>
                <w:sz w:val="19"/>
              </w:rPr>
              <w:t>0.07986</w:t>
            </w:r>
          </w:p>
        </w:tc>
      </w:tr>
      <w:tr>
        <w:trPr>
          <w:cantSplit/>
        </w:trPr>
        <w:tc>
          <w:tcPr>
            <w:tcW w:type="dxa" w:w="2721"/>
            <w:vAlign w:val="center"/>
            <w:tcMar>
              <w:top w:w="85" w:type="dxa"/>
              <w:bottom w:w="85" w:type="dxa"/>
              <w:left w:w="95" w:type="dxa"/>
              <w:right w:w="95" w:type="dxa"/>
            </w:tcMar>
          </w:tcPr>
          <w:p>
            <w:pPr>
              <w:spacing w:after="0" w:line="260" w:lineRule="exact"/>
            </w:pPr>
            <w:r>
              <w:rPr>
                <w:b w:val="0"/>
                <w:sz w:val="19"/>
              </w:rPr>
              <w:t>RCTL 두 번째 seed</w:t>
            </w:r>
          </w:p>
        </w:tc>
        <w:tc>
          <w:tcPr>
            <w:tcW w:type="dxa" w:w="1984"/>
            <w:vAlign w:val="center"/>
            <w:tcMar>
              <w:top w:w="85" w:type="dxa"/>
              <w:bottom w:w="85" w:type="dxa"/>
              <w:left w:w="95" w:type="dxa"/>
              <w:right w:w="95" w:type="dxa"/>
            </w:tcMar>
          </w:tcPr>
          <w:p>
            <w:pPr>
              <w:spacing w:after="0" w:line="260" w:lineRule="exact"/>
            </w:pPr>
            <w:r>
              <w:rPr>
                <w:b w:val="0"/>
                <w:sz w:val="19"/>
              </w:rPr>
              <w:t>미실행</w:t>
            </w:r>
          </w:p>
        </w:tc>
        <w:tc>
          <w:tcPr>
            <w:tcW w:type="dxa" w:w="2268"/>
            <w:vAlign w:val="center"/>
            <w:tcMar>
              <w:top w:w="85" w:type="dxa"/>
              <w:bottom w:w="85" w:type="dxa"/>
              <w:left w:w="95" w:type="dxa"/>
              <w:right w:w="95" w:type="dxa"/>
            </w:tcMar>
          </w:tcPr>
          <w:p>
            <w:pPr>
              <w:spacing w:after="0" w:line="260" w:lineRule="exact"/>
            </w:pPr>
            <w:r>
              <w:rPr>
                <w:b w:val="0"/>
                <w:sz w:val="19"/>
              </w:rPr>
              <w:t>0.08810</w:t>
            </w:r>
          </w:p>
        </w:tc>
        <w:tc>
          <w:tcPr>
            <w:tcW w:type="dxa" w:w="2551"/>
            <w:vAlign w:val="center"/>
            <w:tcMar>
              <w:top w:w="85" w:type="dxa"/>
              <w:bottom w:w="85" w:type="dxa"/>
              <w:left w:w="95" w:type="dxa"/>
              <w:right w:w="95" w:type="dxa"/>
            </w:tcMar>
          </w:tcPr>
          <w:p>
            <w:pPr>
              <w:spacing w:after="0" w:line="260" w:lineRule="exact"/>
            </w:pPr>
            <w:r>
              <w:rPr>
                <w:b w:val="0"/>
                <w:sz w:val="19"/>
              </w:rPr>
              <w:t>0.08367</w:t>
            </w:r>
          </w:p>
        </w:tc>
      </w:tr>
    </w:tbl>
    <w:p>
      <w:pPr>
        <w:spacing w:after="0" w:line="60" w:lineRule="exact"/>
      </w:pPr>
      <w:r>
        <w:rPr>
          <w:sz w:val="2"/>
        </w:rPr>
      </w:r>
    </w:p>
    <w:p>
      <w:r>
        <w:t>TabICLv2는 두 K4 중 Tab risk 구성을 더 좋게 평가했습니다. RCTL은 두 seed 모두 관측값 risk 구성에서 오차가 더 작았습니다. 실제 sample을 합친 context로 평가해도 두 예측기의 선호가 일치하지 않았습니다. 따라서 공통 context 검사를 추가하는 것만으로 기존 문제가 해결됐다고 설명할 수 없습니다.</w:t>
      </w:r>
    </w:p>
    <w:p>
      <w:r>
        <w:t>Global 구성의 직접 예측에서는 TabICLv2가 Ridge·HGB보다 좋았습니다. 또한 모든 예측기는 이 14일 전체에서 Global이 두 K4보다 좋았습니다. Global을 선택하는 결과 자체는 TabICLv2만의 기여가 아닙니다.</w:t>
      </w:r>
    </w:p>
    <w:p>
      <w:pPr>
        <w:spacing w:line="250" w:lineRule="exact" w:after="120"/>
      </w:pPr>
      <w:r>
        <w:rPr>
          <w:sz w:val="18"/>
        </w:rPr>
        <w:t>context는 cell당 672개, query는 cell당 336개입니다. RCTL은 기존 저장 예측을 같은 14일로 맞춘 값이며 이번에 재학습하지 않았습니다. RCTL의 checkpoint 선택에는 별도 validation 구간을 사용했습니다. 이 기간들은 이미 설계 검토에 사용한 개발 자료입니다. 모든 도시·기간 또는 모든 partition에 대한 결론이 아닙니다.</w:t>
      </w:r>
    </w:p>
    <w:p>
      <w:pPr>
        <w:pStyle w:val="Heading1"/>
        <w:pageBreakBefore/>
      </w:pPr>
      <w:r>
        <w:t>2 무엇을 분리해서 판단해야 하는가</w:t>
      </w:r>
    </w:p>
    <w:p>
      <w:pPr>
        <w:pStyle w:val="Heading2"/>
      </w:pPr>
      <w:r>
        <w:t>예측의 정확성과 자료 공유의 이득</w:t>
      </w:r>
    </w:p>
    <w:p>
      <w:r>
        <w:t>TabICLv2가 이후 트래픽을 잘 맞힌다는 사실은 입력과 결과의 관계를 유용하게 추정한다는 근거입니다. RCTL의 cluster를 고르는 데에는 다른 문제가 남습니다. 합친 자료를 실제 RCTL이 학습했을 때 생기는 이득과 손해를 판단해야 합니다. sample 수, 시간상 중복, 입력으로 cell을 구별할 수 있는 정도, 모델 용량과 학습 방식이 함께 작용합니다.</w:t>
      </w:r>
    </w:p>
    <w:p>
      <w:r>
        <w:t>예를 들어 A와 B의 이후 값이 다르더라도 입력의 시간대나 최근 수준이 두 상황을 구별해 주면 하나의 모델이 둘을 함께 예측할 수 있습니다. 반대로 예측 관계가 비슷한 두 cell을 합쳐도 이미 충분한 자료가 있거나 관측이 중복되면 추가 이득은 작을 수 있습니다. 이번 순위 차이는 이 연결을 실제로 확인해야 한다는 근거입니다. 특정 원인 하나가 차이를 만들었다고 확정한 것은 아닙니다.</w:t>
      </w:r>
    </w:p>
    <w:p>
      <w:pPr>
        <w:pStyle w:val="Heading2"/>
      </w:pPr>
      <w:r>
        <w:t>모델 수와 실제 계산 비용</w:t>
      </w:r>
    </w:p>
    <w:p>
      <w:r>
        <w:t>RCTL의 모델 수를 줄이면 저장량과 호출 횟수는 줄일 수 있습니다. 현재 구현은 각 cell을 한 행으로 예측하므로, 모델 수가 줄어도 처리하는 cell 행 수는 같습니다. 같은 모델을 쓰는 cell은 한 번에 batch로 예측하는 구성을 기본 비교로 삼아야 합니다. [실행95]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3231"/>
        <w:gridCol w:w="3231"/>
      </w:tblGrid>
      <w:tr>
        <w:trPr>
          <w:tblHeader/>
          <w:cantSplit/>
        </w:trPr>
        <w:tc>
          <w:tcPr>
            <w:tcW w:type="dxa" w:w="3061"/>
            <w:vAlign w:val="center"/>
            <w:tcMar>
              <w:top w:w="85" w:type="dxa"/>
              <w:bottom w:w="85" w:type="dxa"/>
              <w:left w:w="95" w:type="dxa"/>
              <w:right w:w="95" w:type="dxa"/>
            </w:tcMar>
            <w:shd w:fill="F2F2F2"/>
          </w:tcPr>
          <w:p>
            <w:pPr>
              <w:keepNext/>
              <w:spacing w:after="0" w:line="260" w:lineRule="exact"/>
            </w:pPr>
            <w:r>
              <w:rPr>
                <w:b/>
                <w:sz w:val="19"/>
              </w:rPr>
              <w:t>구성</w:t>
            </w:r>
          </w:p>
        </w:tc>
        <w:tc>
          <w:tcPr>
            <w:tcW w:type="dxa" w:w="3231"/>
            <w:vAlign w:val="center"/>
            <w:tcMar>
              <w:top w:w="85" w:type="dxa"/>
              <w:bottom w:w="85" w:type="dxa"/>
              <w:left w:w="95" w:type="dxa"/>
              <w:right w:w="95" w:type="dxa"/>
            </w:tcMar>
            <w:shd w:fill="F2F2F2"/>
          </w:tcPr>
          <w:p>
            <w:pPr>
              <w:keepNext/>
              <w:spacing w:after="0" w:line="260" w:lineRule="exact"/>
            </w:pPr>
            <w:r>
              <w:rPr>
                <w:b/>
                <w:sz w:val="19"/>
              </w:rPr>
              <w:t>동시 16개 cell 예측</w:t>
            </w:r>
          </w:p>
        </w:tc>
        <w:tc>
          <w:tcPr>
            <w:tcW w:type="dxa" w:w="3231"/>
            <w:vAlign w:val="center"/>
            <w:tcMar>
              <w:top w:w="85" w:type="dxa"/>
              <w:bottom w:w="85" w:type="dxa"/>
              <w:left w:w="95" w:type="dxa"/>
              <w:right w:w="95" w:type="dxa"/>
            </w:tcMar>
            <w:shd w:fill="F2F2F2"/>
          </w:tcPr>
          <w:p>
            <w:pPr>
              <w:keepNext/>
              <w:spacing w:after="0" w:line="260" w:lineRule="exact"/>
            </w:pPr>
            <w:r>
              <w:rPr>
                <w:b/>
                <w:sz w:val="19"/>
              </w:rPr>
              <w:t>상태 tensor 저장량</w:t>
            </w:r>
          </w:p>
        </w:tc>
      </w:tr>
      <w:tr>
        <w:trPr>
          <w:cantSplit/>
        </w:trPr>
        <w:tc>
          <w:tcPr>
            <w:tcW w:type="dxa" w:w="3061"/>
            <w:vAlign w:val="center"/>
            <w:tcMar>
              <w:top w:w="85" w:type="dxa"/>
              <w:bottom w:w="85" w:type="dxa"/>
              <w:left w:w="95" w:type="dxa"/>
              <w:right w:w="95" w:type="dxa"/>
            </w:tcMar>
          </w:tcPr>
          <w:p>
            <w:pPr>
              <w:spacing w:after="0" w:line="260" w:lineRule="exact"/>
            </w:pPr>
            <w:r>
              <w:rPr>
                <w:b w:val="0"/>
                <w:sz w:val="19"/>
              </w:rPr>
              <w:t>Global K1</w:t>
            </w:r>
          </w:p>
        </w:tc>
        <w:tc>
          <w:tcPr>
            <w:tcW w:type="dxa" w:w="3231"/>
            <w:vAlign w:val="center"/>
            <w:tcMar>
              <w:top w:w="85" w:type="dxa"/>
              <w:bottom w:w="85" w:type="dxa"/>
              <w:left w:w="95" w:type="dxa"/>
              <w:right w:w="95" w:type="dxa"/>
            </w:tcMar>
          </w:tcPr>
          <w:p>
            <w:pPr>
              <w:spacing w:after="0" w:line="260" w:lineRule="exact"/>
            </w:pPr>
            <w:r>
              <w:rPr>
                <w:b w:val="0"/>
                <w:sz w:val="19"/>
              </w:rPr>
              <w:t>3.493 ms</w:t>
            </w:r>
          </w:p>
        </w:tc>
        <w:tc>
          <w:tcPr>
            <w:tcW w:type="dxa" w:w="3231"/>
            <w:vAlign w:val="center"/>
            <w:tcMar>
              <w:top w:w="85" w:type="dxa"/>
              <w:bottom w:w="85" w:type="dxa"/>
              <w:left w:w="95" w:type="dxa"/>
              <w:right w:w="95" w:type="dxa"/>
            </w:tcMar>
          </w:tcPr>
          <w:p>
            <w:pPr>
              <w:spacing w:after="0" w:line="260" w:lineRule="exact"/>
            </w:pPr>
            <w:r>
              <w:rPr>
                <w:b w:val="0"/>
                <w:sz w:val="19"/>
              </w:rPr>
              <w:t>701,412 bytes</w:t>
            </w:r>
          </w:p>
        </w:tc>
      </w:tr>
      <w:tr>
        <w:trPr>
          <w:cantSplit/>
        </w:trPr>
        <w:tc>
          <w:tcPr>
            <w:tcW w:type="dxa" w:w="3061"/>
            <w:vAlign w:val="center"/>
            <w:tcMar>
              <w:top w:w="85" w:type="dxa"/>
              <w:bottom w:w="85" w:type="dxa"/>
              <w:left w:w="95" w:type="dxa"/>
              <w:right w:w="95" w:type="dxa"/>
            </w:tcMar>
          </w:tcPr>
          <w:p>
            <w:pPr>
              <w:spacing w:after="0" w:line="260" w:lineRule="exact"/>
            </w:pPr>
            <w:r>
              <w:rPr>
                <w:b w:val="0"/>
                <w:sz w:val="19"/>
              </w:rPr>
              <w:t>Tab risk K4</w:t>
            </w:r>
          </w:p>
        </w:tc>
        <w:tc>
          <w:tcPr>
            <w:tcW w:type="dxa" w:w="3231"/>
            <w:vAlign w:val="center"/>
            <w:tcMar>
              <w:top w:w="85" w:type="dxa"/>
              <w:bottom w:w="85" w:type="dxa"/>
              <w:left w:w="95" w:type="dxa"/>
              <w:right w:w="95" w:type="dxa"/>
            </w:tcMar>
          </w:tcPr>
          <w:p>
            <w:pPr>
              <w:spacing w:after="0" w:line="260" w:lineRule="exact"/>
            </w:pPr>
            <w:r>
              <w:rPr>
                <w:b w:val="0"/>
                <w:sz w:val="19"/>
              </w:rPr>
              <w:t>14.005 ms</w:t>
            </w:r>
          </w:p>
        </w:tc>
        <w:tc>
          <w:tcPr>
            <w:tcW w:type="dxa" w:w="3231"/>
            <w:vAlign w:val="center"/>
            <w:tcMar>
              <w:top w:w="85" w:type="dxa"/>
              <w:bottom w:w="85" w:type="dxa"/>
              <w:left w:w="95" w:type="dxa"/>
              <w:right w:w="95" w:type="dxa"/>
            </w:tcMar>
          </w:tcPr>
          <w:p>
            <w:pPr>
              <w:spacing w:after="0" w:line="260" w:lineRule="exact"/>
            </w:pPr>
            <w:r>
              <w:rPr>
                <w:b w:val="0"/>
                <w:sz w:val="19"/>
              </w:rPr>
              <w:t>2,805,648 bytes</w:t>
            </w:r>
          </w:p>
        </w:tc>
      </w:tr>
      <w:tr>
        <w:trPr>
          <w:cantSplit/>
        </w:trPr>
        <w:tc>
          <w:tcPr>
            <w:tcW w:type="dxa" w:w="3061"/>
            <w:vAlign w:val="center"/>
            <w:tcMar>
              <w:top w:w="85" w:type="dxa"/>
              <w:bottom w:w="85" w:type="dxa"/>
              <w:left w:w="95" w:type="dxa"/>
              <w:right w:w="95" w:type="dxa"/>
            </w:tcMar>
          </w:tcPr>
          <w:p>
            <w:pPr>
              <w:spacing w:after="0" w:line="260" w:lineRule="exact"/>
            </w:pPr>
            <w:r>
              <w:rPr>
                <w:b w:val="0"/>
                <w:sz w:val="19"/>
              </w:rPr>
              <w:t>관측값 risk K4</w:t>
            </w:r>
          </w:p>
        </w:tc>
        <w:tc>
          <w:tcPr>
            <w:tcW w:type="dxa" w:w="3231"/>
            <w:vAlign w:val="center"/>
            <w:tcMar>
              <w:top w:w="85" w:type="dxa"/>
              <w:bottom w:w="85" w:type="dxa"/>
              <w:left w:w="95" w:type="dxa"/>
              <w:right w:w="95" w:type="dxa"/>
            </w:tcMar>
          </w:tcPr>
          <w:p>
            <w:pPr>
              <w:spacing w:after="0" w:line="260" w:lineRule="exact"/>
            </w:pPr>
            <w:r>
              <w:rPr>
                <w:b w:val="0"/>
                <w:sz w:val="19"/>
              </w:rPr>
              <w:t>14.152 ms</w:t>
            </w:r>
          </w:p>
        </w:tc>
        <w:tc>
          <w:tcPr>
            <w:tcW w:type="dxa" w:w="3231"/>
            <w:vAlign w:val="center"/>
            <w:tcMar>
              <w:top w:w="85" w:type="dxa"/>
              <w:bottom w:w="85" w:type="dxa"/>
              <w:left w:w="95" w:type="dxa"/>
              <w:right w:w="95" w:type="dxa"/>
            </w:tcMar>
          </w:tcPr>
          <w:p>
            <w:pPr>
              <w:spacing w:after="0" w:line="260" w:lineRule="exact"/>
            </w:pPr>
            <w:r>
              <w:rPr>
                <w:b w:val="0"/>
                <w:sz w:val="19"/>
              </w:rPr>
              <w:t>2,805,648 bytes</w:t>
            </w:r>
          </w:p>
        </w:tc>
      </w:tr>
    </w:tbl>
    <w:p>
      <w:pPr>
        <w:spacing w:after="0" w:line="60" w:lineRule="exact"/>
      </w:pPr>
      <w:r>
        <w:rPr>
          <w:sz w:val="2"/>
        </w:rPr>
      </w:r>
    </w:p>
    <w:p>
      <w:r>
        <w:t>이 CPU 측정에서도 Global이 유리했습니다. cell별로 따로 호출한 수치보다 batch 기준이 더 강한 비교 대상입니다. clustering 비용 개선을 주장하려면 이 기본 구현보다 어떤 연산이나 저장량을 추가로 줄이는지 제시해야 합니다. 1만 개 cell의 실제 속도로 이 수치를 선형 확대하지 않습니다.</w:t>
      </w:r>
    </w:p>
    <w:p>
      <w:pPr>
        <w:spacing w:line="250" w:lineRule="exact" w:after="120"/>
      </w:pPr>
      <w:r>
        <w:rPr>
          <w:sz w:val="18"/>
        </w:rPr>
        <w:t>CPU 4 threads, 기존 16개 cell·12시점·3회 반복의 중앙값입니다. 모델 로딩과 입력 준비는 시간 측정에서 제외했습니다. 같은 방법의 cell별 호출과 batch 호출은 예측값이 일치하는지 별도로 확인했습니다. 상태 tensor 용량은 checkpoint 파일 용량과 다릅니다.</w:t>
      </w:r>
    </w:p>
    <w:p>
      <w:pPr>
        <w:pStyle w:val="Heading2"/>
      </w:pPr>
      <w:r>
        <w:t>구조 기반 점수 추가의 판단</w:t>
      </w:r>
    </w:p>
    <w:p>
      <w:r>
        <w:t>RNN kernel과 더 일반적인 신경망 이론도 검토했습니다. LSTM·BN을 이론적으로 표현하는 것은 가능하지만, 확인한 초기화·무한폭 결과가 현재 작은 RCTL의 Adam·MAE 학습 결과를 대신하지는 않습니다. 지금은 kernel을 새 점수로 추가하지 않습니다. 이론적 접근 전체가 불가능하다는 뜻은 아닙니다. [검토102]</w:t>
      </w:r>
    </w:p>
    <w:p>
      <w:pPr>
        <w:pStyle w:val="Heading1"/>
        <w:pageBreakBefore/>
      </w:pPr>
      <w:r>
        <w:t>3 선행연구에서 가져온 것과 남아 있는 차이</w:t>
      </w:r>
    </w:p>
    <w:p>
      <w:pPr>
        <w:pStyle w:val="Heading2"/>
      </w:pPr>
      <w:r>
        <w:t>최종 학습 결과로 묶는 HCP</w:t>
      </w:r>
    </w:p>
    <w:p>
      <w:r>
        <w:t>HCP는 분리한 모델과 합친 모델을 실제 학습하여 확인 자료의 손실을 비교합니다. 현재 연구는 clustering에서 RCTL을 호출하지 않으므로 이러한 직접 검사를 할 수 없습니다. 그 비용을 줄인다고 주장하려면 다른 정보로도 유용한 공유 결정을 내린다는 근거가 필요합니다. RCTL 독립성을 유지했다는 사실만으로 이득이 확인되는 것은 아닙니다. [1]</w:t>
      </w:r>
    </w:p>
    <w:p>
      <w:pPr>
        <w:pStyle w:val="Heading2"/>
      </w:pPr>
      <w:r>
        <w:t>교차 예측으로 관계를 비교하는 RMB CLE</w:t>
      </w:r>
    </w:p>
    <w:p>
      <w:r>
        <w:t>RMB-CLE에는 task별 모델의 교차 예측 오차로 유사도를 만들고, clustering 이후 별도 예측기를 학습하는 구조가 있습니다. 따라서 예측 관계로 cell을 묶고 RCTL로 예측한다는 흐름만으로는 차별점이 되지 않습니다. 기존보다 잘못된 소속 판단을 줄이거나, 같은 유용한 판단을 더 적은 계산으로 얻는 부분이 필요합니다. [2]</w:t>
      </w:r>
    </w:p>
    <w:p>
      <w:pPr>
        <w:pStyle w:val="Heading2"/>
      </w:pPr>
      <w:r>
        <w:t>시간 정보를 주는 표 형식 예측과 네트워크 연구</w:t>
      </w:r>
    </w:p>
    <w:p>
      <w:r>
        <w:t>TabPFN-ST-AR의 lag·시간 입력 구성을 참고하여 짧은 증가 모양만 비교하는 설계에서 벗어났습니다. 다만 그 논문의 도로 속도 결과를 통신 활동량의 결과로 옮기지는 않았습니다. 네트워크 traffic matrix 연구를 참고해 Global과 같은 K의 단순 분할도 비교했습니다. 그 연구의 다중 출력 학습과 현재 cell별 scalar RCTL의 비용은 구별했습니다. [3, 4]</w:t>
      </w:r>
    </w:p>
    <w:p>
      <w:pPr>
        <w:pStyle w:val="Heading2"/>
      </w:pPr>
      <w:r>
        <w:t>TabICLv2를 쓸 수 있는 근거와 아직 없는 근거</w:t>
      </w:r>
    </w:p>
    <w:p>
      <w:r>
        <w:t>공식 회귀 가중치로 실제 추론이 가능하며, context를 바꾸어도 신경망을 새로 학습할 필요는 없습니다. 작은 확인에서 직접 예측이 단순 회귀보다 좋은 결과도 있습니다. 다만 새 context의 준비·추론 비용은 발생합니다. 이번 9개 context의 TabICLv2 계산은 약138초였고, 같은 자료의 단순 모델 계산은 훨씬 작았습니다. [5, 실행101]</w:t>
      </w:r>
    </w:p>
    <w:p>
      <w:r>
        <w:t>그러므로 현재 확보한 근거는 “TabICLv2를 사용할 수 있고 유용한 예측을 얻을 수 있다”까지입니다. “그 예측으로 기존보다 좋은 RCTL cluster를 고른다” 또는 “같은 판단을 더 싸게 얻는다”는 주장은 아직 확인하지 못했습니다. 회귀용 TabPFN과의 동일 조건 대체 비교도 미실행입니다.</w:t>
      </w:r>
    </w:p>
    <w:p>
      <w:pPr>
        <w:spacing w:line="250" w:lineRule="exact" w:after="120"/>
      </w:pPr>
      <w:r>
        <w:rPr>
          <w:sz w:val="18"/>
        </w:rPr>
        <w:t>문헌의 세부 식·절·공식 코드 검토와 채택하지 않은 이유는 기존 상세 기록에 보존했습니다. 단순한 원리 결합, 추정기 교체, 미확인 이론적 보장을 새로운 기여로 제시하지 않았습니다.</w:t>
      </w:r>
    </w:p>
    <w:p>
      <w:pPr>
        <w:pStyle w:val="Heading1"/>
        <w:pageBreakBefore/>
      </w:pPr>
      <w:r>
        <w:t>4 연구 방향 확정에 필요한 조건</w:t>
      </w:r>
    </w:p>
    <w:p>
      <w:r>
        <w:t>현재는 신규성과 개선 근거를 함께 갖춘 최종 추천안을 확정하지 못했습니다. 새로운 안은 다음 세 연결을 구체적으로 보여 주어야 합니다. 첫째, 계절·lag·정규화·Global을 적용한 뒤에도 실제 손해가 남는 상황입니다. 둘째, 그 상황에서 TabICLv2의 정보가 다른 유용한 clustering 결정을 만드는 과정입니다. 셋째, 그 결정이 최종 RCTL 또는 전체 비용에 도움이 된다는 직접 근거입니다.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49"/>
        <w:gridCol w:w="4876"/>
      </w:tblGrid>
      <w:tr>
        <w:trPr>
          <w:tblHeader/>
          <w:cantSplit/>
        </w:trPr>
        <w:tc>
          <w:tcPr>
            <w:tcW w:type="dxa" w:w="4649"/>
            <w:vAlign w:val="center"/>
            <w:tcMar>
              <w:top w:w="85" w:type="dxa"/>
              <w:bottom w:w="85" w:type="dxa"/>
              <w:left w:w="95" w:type="dxa"/>
              <w:right w:w="95" w:type="dxa"/>
            </w:tcMar>
            <w:shd w:fill="F2F2F2"/>
          </w:tcPr>
          <w:p>
            <w:pPr>
              <w:keepNext/>
              <w:spacing w:after="0" w:line="260" w:lineRule="exact"/>
            </w:pPr>
            <w:r>
              <w:rPr>
                <w:b/>
                <w:sz w:val="19"/>
              </w:rPr>
              <w:t>완료 조건</w:t>
            </w:r>
          </w:p>
        </w:tc>
        <w:tc>
          <w:tcPr>
            <w:tcW w:type="dxa" w:w="4876"/>
            <w:vAlign w:val="center"/>
            <w:tcMar>
              <w:top w:w="85" w:type="dxa"/>
              <w:bottom w:w="85" w:type="dxa"/>
              <w:left w:w="95" w:type="dxa"/>
              <w:right w:w="95" w:type="dxa"/>
            </w:tcMar>
            <w:shd w:fill="F2F2F2"/>
          </w:tcPr>
          <w:p>
            <w:pPr>
              <w:keepNext/>
              <w:spacing w:after="0" w:line="260" w:lineRule="exact"/>
            </w:pPr>
            <w:r>
              <w:rPr>
                <w:b/>
                <w:sz w:val="19"/>
              </w:rPr>
              <w:t>현재 판단</w:t>
            </w:r>
          </w:p>
        </w:tc>
      </w:tr>
      <w:tr>
        <w:trPr>
          <w:cantSplit/>
        </w:trPr>
        <w:tc>
          <w:tcPr>
            <w:tcW w:type="dxa" w:w="4649"/>
            <w:vAlign w:val="center"/>
            <w:tcMar>
              <w:top w:w="85" w:type="dxa"/>
              <w:bottom w:w="85" w:type="dxa"/>
              <w:left w:w="95" w:type="dxa"/>
              <w:right w:w="95" w:type="dxa"/>
            </w:tcMar>
          </w:tcPr>
          <w:p>
            <w:pPr>
              <w:spacing w:after="0" w:line="260" w:lineRule="exact"/>
            </w:pPr>
            <w:r>
              <w:rPr>
                <w:b w:val="0"/>
                <w:sz w:val="19"/>
              </w:rPr>
              <w:t>공식 회귀 모델 실행과 시간 입력 구성</w:t>
            </w:r>
          </w:p>
        </w:tc>
        <w:tc>
          <w:tcPr>
            <w:tcW w:type="dxa" w:w="4876"/>
            <w:vAlign w:val="center"/>
            <w:tcMar>
              <w:top w:w="85" w:type="dxa"/>
              <w:bottom w:w="85" w:type="dxa"/>
              <w:left w:w="95" w:type="dxa"/>
              <w:right w:w="95" w:type="dxa"/>
            </w:tcMar>
          </w:tcPr>
          <w:p>
            <w:pPr>
              <w:spacing w:after="0" w:line="260" w:lineRule="exact"/>
            </w:pPr>
            <w:r>
              <w:rPr>
                <w:b w:val="0"/>
                <w:sz w:val="19"/>
              </w:rPr>
              <w:t>확인함</w:t>
            </w:r>
          </w:p>
        </w:tc>
      </w:tr>
      <w:tr>
        <w:trPr>
          <w:cantSplit/>
        </w:trPr>
        <w:tc>
          <w:tcPr>
            <w:tcW w:type="dxa" w:w="4649"/>
            <w:vAlign w:val="center"/>
            <w:tcMar>
              <w:top w:w="85" w:type="dxa"/>
              <w:bottom w:w="85" w:type="dxa"/>
              <w:left w:w="95" w:type="dxa"/>
              <w:right w:w="95" w:type="dxa"/>
            </w:tcMar>
          </w:tcPr>
          <w:p>
            <w:pPr>
              <w:spacing w:after="0" w:line="260" w:lineRule="exact"/>
            </w:pPr>
            <w:r>
              <w:rPr>
                <w:b w:val="0"/>
                <w:sz w:val="19"/>
              </w:rPr>
              <w:t>TabICLv2의 직접 예측 이점</w:t>
            </w:r>
          </w:p>
        </w:tc>
        <w:tc>
          <w:tcPr>
            <w:tcW w:type="dxa" w:w="4876"/>
            <w:vAlign w:val="center"/>
            <w:tcMar>
              <w:top w:w="85" w:type="dxa"/>
              <w:bottom w:w="85" w:type="dxa"/>
              <w:left w:w="95" w:type="dxa"/>
              <w:right w:w="95" w:type="dxa"/>
            </w:tcMar>
          </w:tcPr>
          <w:p>
            <w:pPr>
              <w:spacing w:after="0" w:line="260" w:lineRule="exact"/>
            </w:pPr>
            <w:r>
              <w:rPr>
                <w:b w:val="0"/>
                <w:sz w:val="19"/>
              </w:rPr>
              <w:t>개발 자료에서 확인함</w:t>
            </w:r>
          </w:p>
        </w:tc>
      </w:tr>
      <w:tr>
        <w:trPr>
          <w:cantSplit/>
        </w:trPr>
        <w:tc>
          <w:tcPr>
            <w:tcW w:type="dxa" w:w="4649"/>
            <w:vAlign w:val="center"/>
            <w:tcMar>
              <w:top w:w="85" w:type="dxa"/>
              <w:bottom w:w="85" w:type="dxa"/>
              <w:left w:w="95" w:type="dxa"/>
              <w:right w:w="95" w:type="dxa"/>
            </w:tcMar>
          </w:tcPr>
          <w:p>
            <w:pPr>
              <w:spacing w:after="0" w:line="260" w:lineRule="exact"/>
            </w:pPr>
            <w:r>
              <w:rPr>
                <w:b w:val="0"/>
                <w:sz w:val="19"/>
              </w:rPr>
              <w:t>단순 방법보다 유용한 새 clustering 결정</w:t>
            </w:r>
          </w:p>
        </w:tc>
        <w:tc>
          <w:tcPr>
            <w:tcW w:type="dxa" w:w="4876"/>
            <w:vAlign w:val="center"/>
            <w:tcMar>
              <w:top w:w="85" w:type="dxa"/>
              <w:bottom w:w="85" w:type="dxa"/>
              <w:left w:w="95" w:type="dxa"/>
              <w:right w:w="95" w:type="dxa"/>
            </w:tcMar>
          </w:tcPr>
          <w:p>
            <w:pPr>
              <w:spacing w:after="0" w:line="260" w:lineRule="exact"/>
            </w:pPr>
            <w:r>
              <w:rPr>
                <w:b w:val="0"/>
                <w:sz w:val="19"/>
              </w:rPr>
              <w:t>확보하지 못함</w:t>
            </w:r>
          </w:p>
        </w:tc>
      </w:tr>
      <w:tr>
        <w:trPr>
          <w:cantSplit/>
        </w:trPr>
        <w:tc>
          <w:tcPr>
            <w:tcW w:type="dxa" w:w="4649"/>
            <w:vAlign w:val="center"/>
            <w:tcMar>
              <w:top w:w="85" w:type="dxa"/>
              <w:bottom w:w="85" w:type="dxa"/>
              <w:left w:w="95" w:type="dxa"/>
              <w:right w:w="95" w:type="dxa"/>
            </w:tcMar>
          </w:tcPr>
          <w:p>
            <w:pPr>
              <w:spacing w:after="0" w:line="260" w:lineRule="exact"/>
            </w:pPr>
            <w:r>
              <w:rPr>
                <w:b w:val="0"/>
                <w:sz w:val="19"/>
              </w:rPr>
              <w:t>그 결정과 RCTL 학습의 연결</w:t>
            </w:r>
          </w:p>
        </w:tc>
        <w:tc>
          <w:tcPr>
            <w:tcW w:type="dxa" w:w="4876"/>
            <w:vAlign w:val="center"/>
            <w:tcMar>
              <w:top w:w="85" w:type="dxa"/>
              <w:bottom w:w="85" w:type="dxa"/>
              <w:left w:w="95" w:type="dxa"/>
              <w:right w:w="95" w:type="dxa"/>
            </w:tcMar>
          </w:tcPr>
          <w:p>
            <w:pPr>
              <w:spacing w:after="0" w:line="260" w:lineRule="exact"/>
            </w:pPr>
            <w:r>
              <w:rPr>
                <w:b w:val="0"/>
                <w:sz w:val="19"/>
              </w:rPr>
              <w:t>기존 후보의 개선은 확인하지 못함</w:t>
            </w:r>
          </w:p>
        </w:tc>
      </w:tr>
      <w:tr>
        <w:trPr>
          <w:cantSplit/>
        </w:trPr>
        <w:tc>
          <w:tcPr>
            <w:tcW w:type="dxa" w:w="4649"/>
            <w:vAlign w:val="center"/>
            <w:tcMar>
              <w:top w:w="85" w:type="dxa"/>
              <w:bottom w:w="85" w:type="dxa"/>
              <w:left w:w="95" w:type="dxa"/>
              <w:right w:w="95" w:type="dxa"/>
            </w:tcMar>
          </w:tcPr>
          <w:p>
            <w:pPr>
              <w:spacing w:after="0" w:line="260" w:lineRule="exact"/>
            </w:pPr>
            <w:r>
              <w:rPr>
                <w:b w:val="0"/>
                <w:sz w:val="19"/>
              </w:rPr>
              <w:t>신규성 및 개선 근거를 갖춘 최종 추천</w:t>
            </w:r>
          </w:p>
        </w:tc>
        <w:tc>
          <w:tcPr>
            <w:tcW w:type="dxa" w:w="4876"/>
            <w:vAlign w:val="center"/>
            <w:tcMar>
              <w:top w:w="85" w:type="dxa"/>
              <w:bottom w:w="85" w:type="dxa"/>
              <w:left w:w="95" w:type="dxa"/>
              <w:right w:w="95" w:type="dxa"/>
            </w:tcMar>
          </w:tcPr>
          <w:p>
            <w:pPr>
              <w:spacing w:after="0" w:line="260" w:lineRule="exact"/>
            </w:pPr>
            <w:r>
              <w:rPr>
                <w:b w:val="0"/>
                <w:sz w:val="19"/>
              </w:rPr>
              <w:t>미완료</w:t>
            </w:r>
          </w:p>
        </w:tc>
      </w:tr>
    </w:tbl>
    <w:p>
      <w:pPr>
        <w:spacing w:after="0" w:line="60" w:lineRule="exact"/>
      </w:pPr>
      <w:r>
        <w:rPr>
          <w:sz w:val="2"/>
        </w:rPr>
      </w:r>
    </w:p>
    <w:p>
      <w:pPr>
        <w:pStyle w:val="Heading2"/>
      </w:pPr>
      <w:r>
        <w:t>현재 남은 실행 범위</w:t>
      </w:r>
    </w:p>
    <w:p>
      <w:r>
        <w:t>누적 상한은 RCTL 학습 29회이며 모두 사용했습니다. TabICLv2는 context 2개와 query 4,512행이 남았습니다. 이 상한은 결과를 본 뒤 후보마다 초기화하지 않도록 정한 제한입니다. 새로운 RCTL 학습은 현재 범위에 포함되지 않습니다. 상한 소진은 방법이 틀렸다는 증거가 아니며, 상한을 늘리는 것만으로 좋은 연구안이 생기는 것도 아닙니다.</w:t>
      </w:r>
    </w:p>
    <w:p>
      <w:r>
        <w:t>기존 결과의 확인, 원문·코드 분석, 명시적인 가정 아래의 기호 검토는 가능합니다. 새로운 partition의 RCTL 성능은 기존 다른 partition의 결과나 단순 회귀의 결과로 대신 확인했다고 할 수 없습니다. 새 방향을 채택하려면 이론과 실제 자료가 연결된 직접 근거를 얻거나, 구체적인 후보와 최소 확인을 먼저 정한 뒤 실행 범위를 별도로 정해야 합니다.</w:t>
      </w:r>
    </w:p>
    <w:p>
      <w:r>
        <w:t>현재 확인된 이득만으로 TabICLv2를 최종 예측기로 바꾸지도 않았습니다. 이는 유지하기로 한 clustering과 RCTL의 역할을 바꾸는 연구 범위 변경이기 때문입니다. 현재 목표의 완료 여부는 그대로 미완료입니다.</w:t>
      </w:r>
    </w:p>
    <w:p>
      <w:pPr>
        <w:pStyle w:val="Heading2"/>
      </w:pPr>
      <w:r>
        <w:t>주요 원문과 실행 기록</w:t>
      </w:r>
    </w:p>
    <w:p>
      <w:pPr>
        <w:spacing w:after="100" w:line="250" w:lineRule="exact"/>
      </w:pPr>
      <w:hyperlink r:id="rId10">
        <w:r>
          <w:rPr>
            <w:rFonts w:ascii="맑은 고딕" w:hAnsi="맑은 고딕" w:eastAsia="맑은 고딕"/>
            <w:color w:val="234E70"/>
            <w:sz w:val="18"/>
          </w:rPr>
          <w:t>[1] HCP 2025  방법과 정리 검토 원문</w:t>
        </w:r>
      </w:hyperlink>
    </w:p>
    <w:p>
      <w:pPr>
        <w:spacing w:after="100" w:line="250" w:lineRule="exact"/>
      </w:pPr>
      <w:hyperlink r:id="rId11">
        <w:r>
          <w:rPr>
            <w:rFonts w:ascii="맑은 고딕" w:hAnsi="맑은 고딕" w:eastAsia="맑은 고딕"/>
            <w:color w:val="234E70"/>
            <w:sz w:val="18"/>
          </w:rPr>
          <w:t>[2] RMB CLE  arXiv 2602.14231v1</w:t>
        </w:r>
      </w:hyperlink>
    </w:p>
    <w:p>
      <w:pPr>
        <w:spacing w:after="100" w:line="250" w:lineRule="exact"/>
      </w:pPr>
      <w:hyperlink r:id="rId12">
        <w:r>
          <w:rPr>
            <w:rFonts w:ascii="맑은 고딕" w:hAnsi="맑은 고딕" w:eastAsia="맑은 고딕"/>
            <w:color w:val="234E70"/>
            <w:sz w:val="18"/>
          </w:rPr>
          <w:t>[3] TabPFN ST AR  SMBD 2025</w:t>
        </w:r>
      </w:hyperlink>
    </w:p>
    <w:p>
      <w:pPr>
        <w:spacing w:after="100" w:line="250" w:lineRule="exact"/>
      </w:pPr>
      <w:hyperlink r:id="rId13">
        <w:r>
          <w:rPr>
            <w:rFonts w:ascii="맑은 고딕" w:hAnsi="맑은 고딕" w:eastAsia="맑은 고딕"/>
            <w:color w:val="234E70"/>
            <w:sz w:val="18"/>
          </w:rPr>
          <w:t>[4] Traffic Matrix Clustering  arXiv 2604.26081v1</w:t>
        </w:r>
      </w:hyperlink>
    </w:p>
    <w:p>
      <w:pPr>
        <w:spacing w:after="100" w:line="250" w:lineRule="exact"/>
      </w:pPr>
      <w:hyperlink r:id="rId14">
        <w:r>
          <w:rPr>
            <w:rFonts w:ascii="맑은 고딕" w:hAnsi="맑은 고딕" w:eastAsia="맑은 고딕"/>
            <w:color w:val="234E70"/>
            <w:sz w:val="18"/>
          </w:rPr>
          <w:t>[5] TabICLv2  회귀 구조와 context 추론</w:t>
        </w:r>
      </w:hyperlink>
    </w:p>
    <w:p>
      <w:pPr>
        <w:spacing w:after="100" w:line="250" w:lineRule="exact"/>
      </w:pPr>
      <w:hyperlink r:id="rId15">
        <w:r>
          <w:rPr>
            <w:rFonts w:ascii="맑은 고딕" w:hAnsi="맑은 고딕" w:eastAsia="맑은 고딕"/>
            <w:color w:val="234E70"/>
            <w:sz w:val="18"/>
          </w:rPr>
          <w:t>[실행101] 실제 pooled context와 RCTL 비교</w:t>
        </w:r>
      </w:hyperlink>
    </w:p>
    <w:p>
      <w:pPr>
        <w:spacing w:after="100" w:line="250" w:lineRule="exact"/>
      </w:pPr>
      <w:hyperlink r:id="rId16">
        <w:r>
          <w:rPr>
            <w:rFonts w:ascii="맑은 고딕" w:hAnsi="맑은 고딕" w:eastAsia="맑은 고딕"/>
            <w:color w:val="234E70"/>
            <w:sz w:val="18"/>
          </w:rPr>
          <w:t>[실행95] 저장된 RCTL의 batch 예측 비용</w:t>
        </w:r>
      </w:hyperlink>
    </w:p>
    <w:p>
      <w:pPr>
        <w:spacing w:after="100" w:line="250" w:lineRule="exact"/>
      </w:pPr>
      <w:hyperlink r:id="rId17">
        <w:r>
          <w:rPr>
            <w:rFonts w:ascii="맑은 고딕" w:hAnsi="맑은 고딕" w:eastAsia="맑은 고딕"/>
            <w:color w:val="234E70"/>
            <w:sz w:val="18"/>
          </w:rPr>
          <w:t>[검토102] 구조 기반 대리값의 적용 범위</w:t>
        </w:r>
      </w:hyperlink>
    </w:p>
    <w:sectPr w:rsidR="00FC693F" w:rsidRPr="0006063C" w:rsidSect="00034616">
      <w:footerReference w:type="default" r:id="rId9"/>
      <w:pgSz w:w="11906" w:h="16838"/>
      <w:pgMar w:top="1020" w:right="1191" w:bottom="1020" w:left="1191"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중간 검토본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40"/>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line="364" w:lineRule="exact"/>
      <w:outlineLvl w:val="0"/>
      <w:snapToGrid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99" w:lineRule="exact"/>
      <w:outlineLvl w:val="1"/>
      <w:snapToGrid w:val="0"/>
    </w:pPr>
    <w:rPr>
      <w:rFonts w:asciiTheme="majorHAnsi" w:eastAsiaTheme="majorEastAsia" w:hAnsiTheme="majorHAnsi" w:cstheme="majorBidi" w:ascii="맑은 고딕" w:hAnsi="맑은 고딕" w:eastAsia="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520" w:lineRule="exact" w:before="0"/>
      <w:contextualSpacing/>
      <w:snapToGrid w:val="0"/>
    </w:pPr>
    <w:rPr>
      <w:rFonts w:asciiTheme="majorHAnsi" w:eastAsiaTheme="majorEastAsia" w:hAnsiTheme="majorHAnsi" w:cstheme="majorBidi" w:ascii="맑은 고딕" w:hAnsi="맑은 고딕" w:eastAsia="맑은 고딕"/>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C:/Users/jungj/OneDrive/Desktop/%EC%97%B0%EA%B5%AC%EC%8B%A4/Tab-ICL/tmp/preflight_20260925/sources/HCP_2025.txt" TargetMode="External"/><Relationship Id="rId11" Type="http://schemas.openxmlformats.org/officeDocument/2006/relationships/hyperlink" Target="https://arxiv.org/abs/2602.14231v1" TargetMode="External"/><Relationship Id="rId12" Type="http://schemas.openxmlformats.org/officeDocument/2006/relationships/hyperlink" Target="https://doi.org/10.1145/3768740.3768798" TargetMode="External"/><Relationship Id="rId13" Type="http://schemas.openxmlformats.org/officeDocument/2006/relationships/hyperlink" Target="https://arxiv.org/abs/2604.26081v1" TargetMode="External"/><Relationship Id="rId14" Type="http://schemas.openxmlformats.org/officeDocument/2006/relationships/hyperlink" Target="https://arxiv.org/html/2602.11139v2#S3" TargetMode="External"/><Relationship Id="rId15" Type="http://schemas.openxmlformats.org/officeDocument/2006/relationships/hyperlink" Target="file:///C:/Users/jungj/OneDrive/Desktop/%EC%97%B0%EA%B5%AC%EC%8B%A4/Tab-ICL/tmp/redesign_20260925/101_pooled_context_findings.md" TargetMode="External"/><Relationship Id="rId16" Type="http://schemas.openxmlformats.org/officeDocument/2006/relationships/hyperlink" Target="file:///C:/Users/jungj/OneDrive/Desktop/%EC%97%B0%EA%B5%AC%EC%8B%A4/Tab-ICL/tmp/redesign_20260925/95_serving_cost_findings.md" TargetMode="External"/><Relationship Id="rId17" Type="http://schemas.openxmlformats.org/officeDocument/2006/relationships/hyperlink" Target="file:///C:/Users/jungj/OneDrive/Desktop/%EC%97%B0%EA%B5%AC%EC%8B%A4/Tab-ICL/tmp/redesign_20260925/102_architecture_proxy_finding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TabICLv2와 RCTL 연구 재설계의 현재 근거</dc:title>
  <dc:subject>새로운 실제 context 비교를 반영한 중간 근거 검토와 미완료 조건</dc:subject>
  <dc:creator>연구 검토 자료</dc:creator>
  <cp:keywords/>
  <dc:description>generated by python-docx</dc:description>
  <cp:lastModifiedBy/>
  <cp:revision>1</cp:revision>
  <dcterms:created xsi:type="dcterms:W3CDTF">2013-12-23T23:15:00Z</dcterms:created>
  <dcterms:modified xsi:type="dcterms:W3CDTF">2013-12-23T23:15:00Z</dcterms:modified>
  <cp:category/>
</cp:coreProperties>
</file>