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TabICLv2 기반 clustering 연구의 근거 검토</w:t>
      </w:r>
    </w:p>
    <w:p>
      <w:pPr>
        <w:spacing w:line="250" w:lineRule="exact" w:after="120"/>
      </w:pPr>
      <w:r>
        <w:rPr>
          <w:sz w:val="18"/>
        </w:rPr>
        <w:t>교수님 검토용 중간 보고  2026년 9월 26일</w:t>
      </w:r>
    </w:p>
    <w:p>
      <w:r>
        <w:t>현재 확인한 결과는 TabICLv2를 예측기로 활용할 가능성을 보여 줍니다. 다만 그 예측을 이용해 cell을 묶는 판단이 기존보다 좋아졌다는 근거는 아직 확보하지 못했습니다. 본 문서는 직접 예측, clustering 결정, 최종 RCTL 성능을 구분하여 재설계의 출발점을 정리한 중간 검토본입니다.</w:t>
      </w:r>
    </w:p>
    <w:p>
      <w:pPr>
        <w:pStyle w:val="Heading1"/>
      </w:pPr>
      <w:r>
        <w:t>1 현재 근거가 보여 주는 것</w:t>
      </w:r>
    </w:p>
    <w:p>
      <w:pPr>
        <w:pStyle w:val="Heading2"/>
      </w:pPr>
      <w:r>
        <w:t>TabICLv2의 직접 예측에는 긍정적인 결과가 있습니다</w:t>
      </w:r>
    </w:p>
    <w:p>
      <w:r>
        <w:t>Milan의 기존 4개 cell에서 모든 예측기에 같은 28개 입력 열과 cell당 context 256개를 제공했습니다. 최근 이력, 전일·전주 이력, 달력 정보가 포함됩니다. 이후 168시간의 개발 구간에서 얻은 결과는 다음과 같습니다. 수치는 정규화한 활동량 기준이며, 아래에서는 TabICLv2의 mean 출력을 사용했습니다. [실행 기록 74]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2551"/>
        <w:gridCol w:w="2551"/>
      </w:tblGrid>
      <w:tr>
        <w:trPr>
          <w:tblHeader/>
          <w:cantSplit/>
        </w:trPr>
        <w:tc>
          <w:tcPr>
            <w:tcW w:type="dxa" w:w="4422"/>
            <w:vAlign w:val="center"/>
            <w:tcMar>
              <w:top w:w="85" w:type="dxa"/>
              <w:bottom w:w="85" w:type="dxa"/>
              <w:left w:w="95" w:type="dxa"/>
              <w:right w:w="95" w:type="dxa"/>
            </w:tcMar>
            <w:shd w:fill="F2F2F2"/>
          </w:tcPr>
          <w:p>
            <w:pPr>
              <w:keepNext/>
              <w:spacing w:after="0" w:line="260" w:lineRule="exact"/>
            </w:pPr>
            <w:r>
              <w:rPr>
                <w:b/>
                <w:sz w:val="19"/>
              </w:rPr>
              <w:t>예측기</w:t>
            </w:r>
          </w:p>
        </w:tc>
        <w:tc>
          <w:tcPr>
            <w:tcW w:type="dxa" w:w="2551"/>
            <w:vAlign w:val="center"/>
            <w:tcMar>
              <w:top w:w="85" w:type="dxa"/>
              <w:bottom w:w="85" w:type="dxa"/>
              <w:left w:w="95" w:type="dxa"/>
              <w:right w:w="95" w:type="dxa"/>
            </w:tcMar>
            <w:shd w:fill="F2F2F2"/>
          </w:tcPr>
          <w:p>
            <w:pPr>
              <w:keepNext/>
              <w:spacing w:after="0" w:line="260" w:lineRule="exact"/>
            </w:pPr>
            <w:r>
              <w:rPr>
                <w:b/>
                <w:sz w:val="19"/>
              </w:rPr>
              <w:t>MSE</w:t>
            </w:r>
          </w:p>
        </w:tc>
        <w:tc>
          <w:tcPr>
            <w:tcW w:type="dxa" w:w="2551"/>
            <w:vAlign w:val="center"/>
            <w:tcMar>
              <w:top w:w="85" w:type="dxa"/>
              <w:bottom w:w="85" w:type="dxa"/>
              <w:left w:w="95" w:type="dxa"/>
              <w:right w:w="95" w:type="dxa"/>
            </w:tcMar>
            <w:shd w:fill="F2F2F2"/>
          </w:tcPr>
          <w:p>
            <w:pPr>
              <w:keepNext/>
              <w:spacing w:after="0" w:line="260" w:lineRule="exact"/>
            </w:pPr>
            <w:r>
              <w:rPr>
                <w:b/>
                <w:sz w:val="19"/>
              </w:rPr>
              <w:t>MAE</w:t>
            </w:r>
          </w:p>
        </w:tc>
      </w:tr>
      <w:tr>
        <w:trPr>
          <w:cantSplit/>
        </w:trPr>
        <w:tc>
          <w:tcPr>
            <w:tcW w:type="dxa" w:w="4422"/>
            <w:vAlign w:val="center"/>
            <w:tcMar>
              <w:top w:w="85" w:type="dxa"/>
              <w:bottom w:w="85" w:type="dxa"/>
              <w:left w:w="95" w:type="dxa"/>
              <w:right w:w="95" w:type="dxa"/>
            </w:tcMar>
          </w:tcPr>
          <w:p>
            <w:pPr>
              <w:spacing w:after="0" w:line="260" w:lineRule="exact"/>
            </w:pPr>
            <w:r>
              <w:rPr>
                <w:b w:val="0"/>
                <w:sz w:val="19"/>
              </w:rPr>
              <w:t>Ridge</w:t>
            </w:r>
          </w:p>
        </w:tc>
        <w:tc>
          <w:tcPr>
            <w:tcW w:type="dxa" w:w="2551"/>
            <w:vAlign w:val="center"/>
            <w:tcMar>
              <w:top w:w="85" w:type="dxa"/>
              <w:bottom w:w="85" w:type="dxa"/>
              <w:left w:w="95" w:type="dxa"/>
              <w:right w:w="95" w:type="dxa"/>
            </w:tcMar>
          </w:tcPr>
          <w:p>
            <w:pPr>
              <w:spacing w:after="0" w:line="260" w:lineRule="exact"/>
            </w:pPr>
            <w:r>
              <w:rPr>
                <w:b w:val="0"/>
                <w:sz w:val="19"/>
              </w:rPr>
              <w:t>0.014360</w:t>
            </w:r>
          </w:p>
        </w:tc>
        <w:tc>
          <w:tcPr>
            <w:tcW w:type="dxa" w:w="2551"/>
            <w:vAlign w:val="center"/>
            <w:tcMar>
              <w:top w:w="85" w:type="dxa"/>
              <w:bottom w:w="85" w:type="dxa"/>
              <w:left w:w="95" w:type="dxa"/>
              <w:right w:w="95" w:type="dxa"/>
            </w:tcMar>
          </w:tcPr>
          <w:p>
            <w:pPr>
              <w:spacing w:after="0" w:line="260" w:lineRule="exact"/>
            </w:pPr>
            <w:r>
              <w:rPr>
                <w:b w:val="0"/>
                <w:sz w:val="19"/>
              </w:rPr>
              <w:t>0.089565</w:t>
            </w:r>
          </w:p>
        </w:tc>
      </w:tr>
      <w:tr>
        <w:trPr>
          <w:cantSplit/>
        </w:trPr>
        <w:tc>
          <w:tcPr>
            <w:tcW w:type="dxa" w:w="4422"/>
            <w:vAlign w:val="center"/>
            <w:tcMar>
              <w:top w:w="85" w:type="dxa"/>
              <w:bottom w:w="85" w:type="dxa"/>
              <w:left w:w="95" w:type="dxa"/>
              <w:right w:w="95" w:type="dxa"/>
            </w:tcMar>
          </w:tcPr>
          <w:p>
            <w:pPr>
              <w:spacing w:after="0" w:line="260" w:lineRule="exact"/>
            </w:pPr>
            <w:r>
              <w:rPr>
                <w:b w:val="0"/>
                <w:sz w:val="19"/>
              </w:rPr>
              <w:t>HGB</w:t>
            </w:r>
          </w:p>
        </w:tc>
        <w:tc>
          <w:tcPr>
            <w:tcW w:type="dxa" w:w="2551"/>
            <w:vAlign w:val="center"/>
            <w:tcMar>
              <w:top w:w="85" w:type="dxa"/>
              <w:bottom w:w="85" w:type="dxa"/>
              <w:left w:w="95" w:type="dxa"/>
              <w:right w:w="95" w:type="dxa"/>
            </w:tcMar>
          </w:tcPr>
          <w:p>
            <w:pPr>
              <w:spacing w:after="0" w:line="260" w:lineRule="exact"/>
            </w:pPr>
            <w:r>
              <w:rPr>
                <w:b w:val="0"/>
                <w:sz w:val="19"/>
              </w:rPr>
              <w:t>0.011925</w:t>
            </w:r>
          </w:p>
        </w:tc>
        <w:tc>
          <w:tcPr>
            <w:tcW w:type="dxa" w:w="2551"/>
            <w:vAlign w:val="center"/>
            <w:tcMar>
              <w:top w:w="85" w:type="dxa"/>
              <w:bottom w:w="85" w:type="dxa"/>
              <w:left w:w="95" w:type="dxa"/>
              <w:right w:w="95" w:type="dxa"/>
            </w:tcMar>
          </w:tcPr>
          <w:p>
            <w:pPr>
              <w:spacing w:after="0" w:line="260" w:lineRule="exact"/>
            </w:pPr>
            <w:r>
              <w:rPr>
                <w:b w:val="0"/>
                <w:sz w:val="19"/>
              </w:rPr>
              <w:t>0.078400</w:t>
            </w:r>
          </w:p>
        </w:tc>
      </w:tr>
      <w:tr>
        <w:trPr>
          <w:cantSplit/>
        </w:trPr>
        <w:tc>
          <w:tcPr>
            <w:tcW w:type="dxa" w:w="4422"/>
            <w:vAlign w:val="center"/>
            <w:tcMar>
              <w:top w:w="85" w:type="dxa"/>
              <w:bottom w:w="85" w:type="dxa"/>
              <w:left w:w="95" w:type="dxa"/>
              <w:right w:w="95" w:type="dxa"/>
            </w:tcMar>
          </w:tcPr>
          <w:p>
            <w:pPr>
              <w:spacing w:after="0" w:line="260" w:lineRule="exact"/>
            </w:pPr>
            <w:r>
              <w:rPr>
                <w:b w:val="0"/>
                <w:sz w:val="19"/>
              </w:rPr>
              <w:t>TabICLv2</w:t>
            </w:r>
          </w:p>
        </w:tc>
        <w:tc>
          <w:tcPr>
            <w:tcW w:type="dxa" w:w="2551"/>
            <w:vAlign w:val="center"/>
            <w:tcMar>
              <w:top w:w="85" w:type="dxa"/>
              <w:bottom w:w="85" w:type="dxa"/>
              <w:left w:w="95" w:type="dxa"/>
              <w:right w:w="95" w:type="dxa"/>
            </w:tcMar>
          </w:tcPr>
          <w:p>
            <w:pPr>
              <w:spacing w:after="0" w:line="260" w:lineRule="exact"/>
            </w:pPr>
            <w:r>
              <w:rPr>
                <w:b w:val="0"/>
                <w:sz w:val="19"/>
              </w:rPr>
              <w:t>0.009580</w:t>
            </w:r>
          </w:p>
        </w:tc>
        <w:tc>
          <w:tcPr>
            <w:tcW w:type="dxa" w:w="2551"/>
            <w:vAlign w:val="center"/>
            <w:tcMar>
              <w:top w:w="85" w:type="dxa"/>
              <w:bottom w:w="85" w:type="dxa"/>
              <w:left w:w="95" w:type="dxa"/>
              <w:right w:w="95" w:type="dxa"/>
            </w:tcMar>
          </w:tcPr>
          <w:p>
            <w:pPr>
              <w:spacing w:after="0" w:line="260" w:lineRule="exact"/>
            </w:pPr>
            <w:r>
              <w:rPr>
                <w:b w:val="0"/>
                <w:sz w:val="19"/>
              </w:rPr>
              <w:t>0.066828</w:t>
            </w:r>
          </w:p>
        </w:tc>
      </w:tr>
    </w:tbl>
    <w:p>
      <w:pPr>
        <w:spacing w:after="0" w:line="60" w:lineRule="exact"/>
      </w:pPr>
      <w:r>
        <w:rPr>
          <w:sz w:val="2"/>
        </w:rPr>
      </w:r>
    </w:p>
    <w:p>
      <w:r>
        <w:t>이 결과는 같은 작은 context에서 입력과 이후 결과의 관계를 추정하는 데 TabICLv2가 도움이 될 수 있다는 근거입니다. 이웃 입력 자체의 효과나 RCTL을 함께 학습할 cell의 선택 효과를 확인한 결과는 아닙니다.</w:t>
      </w:r>
    </w:p>
    <w:p>
      <w:pPr>
        <w:pStyle w:val="Heading2"/>
      </w:pPr>
      <w:r>
        <w:t>같은 수의 cluster를 비교한 RCTL 결과는 다릅니다</w:t>
      </w:r>
    </w:p>
    <w:p>
      <w:r>
        <w:t>별도의 16개 cell 확인에서는 cluster 4개, 각 cluster 4개 cell로 소속과 설정을 먼저 고정한 뒤 RCTL을 학습했습니다. 표는 같은 480시간에서 구한 cell 평균 정규화 MAE입니다. 두 seed는 학습의 변동을 살핀 것이며, 두 독립 데이터셋을 뜻하지 않습니다. [실행 기록 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2551"/>
        <w:gridCol w:w="2551"/>
      </w:tblGrid>
      <w:tr>
        <w:trPr>
          <w:tblHeader/>
          <w:cantSplit/>
        </w:trPr>
        <w:tc>
          <w:tcPr>
            <w:tcW w:type="dxa" w:w="4422"/>
            <w:vAlign w:val="center"/>
            <w:tcMar>
              <w:top w:w="85" w:type="dxa"/>
              <w:bottom w:w="85" w:type="dxa"/>
              <w:left w:w="95" w:type="dxa"/>
              <w:right w:w="95" w:type="dxa"/>
            </w:tcMar>
            <w:shd w:fill="F2F2F2"/>
          </w:tcPr>
          <w:p>
            <w:pPr>
              <w:keepNext/>
              <w:spacing w:after="0" w:line="260" w:lineRule="exact"/>
            </w:pPr>
            <w:r>
              <w:rPr>
                <w:b/>
                <w:sz w:val="19"/>
              </w:rPr>
              <w:t>소속 결정 방법</w:t>
            </w:r>
          </w:p>
        </w:tc>
        <w:tc>
          <w:tcPr>
            <w:tcW w:type="dxa" w:w="2551"/>
            <w:vAlign w:val="center"/>
            <w:tcMar>
              <w:top w:w="85" w:type="dxa"/>
              <w:bottom w:w="85" w:type="dxa"/>
              <w:left w:w="95" w:type="dxa"/>
              <w:right w:w="95" w:type="dxa"/>
            </w:tcMar>
            <w:shd w:fill="F2F2F2"/>
          </w:tcPr>
          <w:p>
            <w:pPr>
              <w:keepNext/>
              <w:spacing w:after="0" w:line="260" w:lineRule="exact"/>
            </w:pPr>
            <w:r>
              <w:rPr>
                <w:b/>
                <w:sz w:val="19"/>
              </w:rPr>
              <w:t>seed 20260925</w:t>
            </w:r>
          </w:p>
        </w:tc>
        <w:tc>
          <w:tcPr>
            <w:tcW w:type="dxa" w:w="2551"/>
            <w:vAlign w:val="center"/>
            <w:tcMar>
              <w:top w:w="85" w:type="dxa"/>
              <w:bottom w:w="85" w:type="dxa"/>
              <w:left w:w="95" w:type="dxa"/>
              <w:right w:w="95" w:type="dxa"/>
            </w:tcMar>
            <w:shd w:fill="F2F2F2"/>
          </w:tcPr>
          <w:p>
            <w:pPr>
              <w:keepNext/>
              <w:spacing w:after="0" w:line="260" w:lineRule="exact"/>
            </w:pPr>
            <w:r>
              <w:rPr>
                <w:b/>
                <w:sz w:val="19"/>
              </w:rPr>
              <w:t>seed 20260926</w:t>
            </w:r>
          </w:p>
        </w:tc>
      </w:tr>
      <w:tr>
        <w:trPr>
          <w:cantSplit/>
        </w:trPr>
        <w:tc>
          <w:tcPr>
            <w:tcW w:type="dxa" w:w="4422"/>
            <w:vAlign w:val="center"/>
            <w:tcMar>
              <w:top w:w="85" w:type="dxa"/>
              <w:bottom w:w="85" w:type="dxa"/>
              <w:left w:w="95" w:type="dxa"/>
              <w:right w:w="95" w:type="dxa"/>
            </w:tcMar>
          </w:tcPr>
          <w:p>
            <w:pPr>
              <w:spacing w:after="0" w:line="260" w:lineRule="exact"/>
            </w:pPr>
            <w:r>
              <w:rPr>
                <w:b w:val="0"/>
                <w:sz w:val="19"/>
              </w:rPr>
              <w:t>실제 관측값 기반 risk</w:t>
            </w:r>
          </w:p>
        </w:tc>
        <w:tc>
          <w:tcPr>
            <w:tcW w:type="dxa" w:w="2551"/>
            <w:vAlign w:val="center"/>
            <w:tcMar>
              <w:top w:w="85" w:type="dxa"/>
              <w:bottom w:w="85" w:type="dxa"/>
              <w:left w:w="95" w:type="dxa"/>
              <w:right w:w="95" w:type="dxa"/>
            </w:tcMar>
          </w:tcPr>
          <w:p>
            <w:pPr>
              <w:spacing w:after="0" w:line="260" w:lineRule="exact"/>
            </w:pPr>
            <w:r>
              <w:rPr>
                <w:b w:val="0"/>
                <w:sz w:val="19"/>
              </w:rPr>
              <w:t>0.081600</w:t>
            </w:r>
          </w:p>
        </w:tc>
        <w:tc>
          <w:tcPr>
            <w:tcW w:type="dxa" w:w="2551"/>
            <w:vAlign w:val="center"/>
            <w:tcMar>
              <w:top w:w="85" w:type="dxa"/>
              <w:bottom w:w="85" w:type="dxa"/>
              <w:left w:w="95" w:type="dxa"/>
              <w:right w:w="95" w:type="dxa"/>
            </w:tcMar>
          </w:tcPr>
          <w:p>
            <w:pPr>
              <w:spacing w:after="0" w:line="260" w:lineRule="exact"/>
            </w:pPr>
            <w:r>
              <w:rPr>
                <w:b w:val="0"/>
                <w:sz w:val="19"/>
              </w:rPr>
              <w:t>0.083516</w:t>
            </w:r>
          </w:p>
        </w:tc>
      </w:tr>
      <w:tr>
        <w:trPr>
          <w:cantSplit/>
        </w:trPr>
        <w:tc>
          <w:tcPr>
            <w:tcW w:type="dxa" w:w="4422"/>
            <w:vAlign w:val="center"/>
            <w:tcMar>
              <w:top w:w="85" w:type="dxa"/>
              <w:bottom w:w="85" w:type="dxa"/>
              <w:left w:w="95" w:type="dxa"/>
              <w:right w:w="95" w:type="dxa"/>
            </w:tcMar>
          </w:tcPr>
          <w:p>
            <w:pPr>
              <w:spacing w:after="0" w:line="260" w:lineRule="exact"/>
            </w:pPr>
            <w:r>
              <w:rPr>
                <w:b w:val="0"/>
                <w:sz w:val="19"/>
              </w:rPr>
              <w:t>TabICLv2 기반 risk</w:t>
            </w:r>
          </w:p>
        </w:tc>
        <w:tc>
          <w:tcPr>
            <w:tcW w:type="dxa" w:w="2551"/>
            <w:vAlign w:val="center"/>
            <w:tcMar>
              <w:top w:w="85" w:type="dxa"/>
              <w:bottom w:w="85" w:type="dxa"/>
              <w:left w:w="95" w:type="dxa"/>
              <w:right w:w="95" w:type="dxa"/>
            </w:tcMar>
          </w:tcPr>
          <w:p>
            <w:pPr>
              <w:spacing w:after="0" w:line="260" w:lineRule="exact"/>
            </w:pPr>
            <w:r>
              <w:rPr>
                <w:b w:val="0"/>
                <w:sz w:val="19"/>
              </w:rPr>
              <w:t>0.087328</w:t>
            </w:r>
          </w:p>
        </w:tc>
        <w:tc>
          <w:tcPr>
            <w:tcW w:type="dxa" w:w="2551"/>
            <w:vAlign w:val="center"/>
            <w:tcMar>
              <w:top w:w="85" w:type="dxa"/>
              <w:bottom w:w="85" w:type="dxa"/>
              <w:left w:w="95" w:type="dxa"/>
              <w:right w:w="95" w:type="dxa"/>
            </w:tcMar>
          </w:tcPr>
          <w:p>
            <w:pPr>
              <w:spacing w:after="0" w:line="260" w:lineRule="exact"/>
            </w:pPr>
            <w:r>
              <w:rPr>
                <w:b w:val="0"/>
                <w:sz w:val="19"/>
              </w:rPr>
              <w:t>0.087760</w:t>
            </w:r>
          </w:p>
        </w:tc>
      </w:tr>
    </w:tbl>
    <w:p>
      <w:pPr>
        <w:spacing w:after="0" w:line="60" w:lineRule="exact"/>
      </w:pPr>
      <w:r>
        <w:rPr>
          <w:sz w:val="2"/>
        </w:rPr>
      </w:r>
    </w:p>
    <w:p>
      <w:r>
        <w:t>TabICLv2 군집안의 오차가 각각 7.02%, 5.08% 컸습니다. 따라서 이 군집안은 채택하지 않습니다. 두 표는 cell, 입력, 기간과 지표가 다르므로 표 사이의 숫자를 직접 비교해서도 안 됩니다.</w:t>
      </w:r>
    </w:p>
    <w:p>
      <w:pPr>
        <w:pStyle w:val="Heading1"/>
        <w:pageBreakBefore/>
      </w:pPr>
      <w:r>
        <w:t>2 좋은 예측이 좋은 clustering을 뜻하지 않는 이유</w:t>
      </w:r>
    </w:p>
    <w:p>
      <w:r>
        <w:t>TabICLv2가 답해야 하는 첫 질문은 “이 입력 다음에 얼마가 관측되는가”입니다. clustering이 답해야 하는 질문은 “어떤 cell의 자료를 한 RCTL이 함께 학습할 때 유리한가”입니다. 두 번째 질문에는 예측 관계의 차이 외에도 자료의 양, 입력으로 cell을 구별할 수 있는 정도, RCTL의 용량과 학습 방식이 영향을 줍니다.</w:t>
      </w:r>
    </w:p>
    <w:p>
      <w:r>
        <w:t>예를 들어 A와 B의 이후 값이 다르더라도 요일과 최근 이력이 두 cell의 상황을 구별해 준다면, 하나의 모델이 서로 다른 결과를 함께 학습할 수 있습니다. 반대로 예측 관계가 비슷해도 이미 충분한 자료가 있거나 두 cell의 자료가 중복되면 합치는 이득이 작을 수 있습니다. 예측값 사이의 거리를 좁히는 것만으로 이 문제를 해결할 수는 없습니다.</w:t>
      </w:r>
    </w:p>
    <w:p>
      <w:pPr>
        <w:pStyle w:val="Heading2"/>
      </w:pPr>
      <w:r>
        <w:t>실제 소속이 바뀌었는지를 별도로 확인했습니다</w:t>
      </w:r>
    </w:p>
    <w:p>
      <w:r>
        <w:t>16개 cell의 후속 확인에서는 관측 입력과 TabICLv2의 예측 평균을 함께 비교하여 군집을 구성했습니다. TabICLv2의 직접 예측 오차는 Ridge와 HGB보다 작았지만, 입력만 이용한 방법, 실제 입력과 정답을 이용한 방법, TabICLv2·Ridge·HGB를 이용한 방법이 모두 같은 소속을 선택했습니다. 이 설정에서는 더 좋은 예측이 새로운 clustering 결정으로 이어지지 않았습니다. [실행 기록 80]</w:t>
      </w:r>
    </w:p>
    <w:p>
      <w:pPr>
        <w:pStyle w:val="Heading2"/>
      </w:pPr>
      <w:r>
        <w:t>가장 가까운 선행연구와의 연결</w:t>
      </w:r>
    </w:p>
    <w:p>
      <w:r>
        <w:t>HCP 2025는 분리 모델과 합친 모델을 실제 학습하고, 확인용 자료의 손실을 비교하여 병합합니다. 현재 연구처럼 최종 RCTL을 clustering에서 호출하지 않으면 그 비용은 줄일 수 있지만, HCP가 직접 관측한 공동 학습의 효과를 다른 점수가 대신해야 합니다. 이 연결을 생략한 채 “HCP를 더 빠르게 구현했다”고 설명할 수는 없습니다. [1]</w:t>
      </w:r>
    </w:p>
    <w:p>
      <w:r>
        <w:t>RMB-CLE는 task별 모델의 교차 예측 오차로 유사도를 만들고, clustering 뒤에 별도의 최종 예측기를 학습합니다. 따라서 “예측 관계로 묶고 다른 모델로 예측한다”는 구조 자체는 선행연구에 있습니다. TabICLv2로 모델 이름을 바꾸는 것 외에, 어떤 잘못된 병합을 줄이거나 어떤 계산을 절감하는지 제시해야 합니다. [2]</w:t>
      </w:r>
    </w:p>
    <w:p>
      <w:r>
        <w:t>ETAP은 task 간 gradient 유사도와 실제 공동 학습 이득의 차이를 보정합니다. 대리 점수와 최종 성능의 차이가 이미 연구되는 문제라는 뜻입니다. 다만 최종 학습기의 정보를 사용하는 방식을 그대로 가져오면 현재 연구의 RCTL 독립 조건과 맞지 않습니다. [3]</w:t>
      </w:r>
    </w:p>
    <w:p>
      <w:r>
        <w:t>네트워크 traffic matrix를 다룬 clustering 연구는 무작위 분할과 global 예측도 비교합니다. 이를 반영해 현재 검토에도 같은 cluster 수의 무작위 분할과 global RCTL을 넣었습니다. 의미 있어 보이는 군집이 강한 단순 대안보다 나은지는 별도로 확인해야 합니다. [4]</w:t>
      </w:r>
    </w:p>
    <w:p>
      <w:pPr>
        <w:pStyle w:val="Heading1"/>
        <w:pageBreakBefore/>
      </w:pPr>
      <w:r>
        <w:t>3 시간 흐름과 실행 비용에서 유지할 설계</w:t>
      </w:r>
    </w:p>
    <w:p>
      <w:pPr>
        <w:pStyle w:val="Heading2"/>
      </w:pPr>
      <w:r>
        <w:t>하루와 주간의 흐름을 sample 안에 명시합니다</w:t>
      </w:r>
    </w:p>
    <w:p>
      <w:r>
        <w:t>현재 예측 시점에서 관측된 최근 이력에 전일·전주 같은 시간의 이력, 시각과 요일을 함께 제공합니다. 다른 시간대에서 짧은 증가 모양만 비슷한 sample을 모으면 주기적 상황을 놓칠 수 있기 때문입니다. 이 입력 정보는 TabICLv2와 모든 비교 방법에 동일하게 주어야 합니다. 시간·lag 특징의 중요성은 TabPFN-ST-AR를 참고하되, 도로 속도의 결과를 통신 활동량의 성능으로 옮기지는 않습니다. [5]</w:t>
      </w:r>
    </w:p>
    <w:p>
      <w:r>
        <w:t>한 sample은 해당 시점까지의 입력과 이후 실제 관측값으로 구성합니다. context에는 두 항목을 함께 주고, query의 실제값은 오차 계산에만 씁니다. query의 예측 시점에 이미 관측된 이력이 context의 과거 정답과 겹치는 것만으로 누출은 아닙니다. 미래 정답이 들어가는 누출과 가까운 시간 sample의 의존성을 구분하며, 의존성을 살피기 위한 간격은 입력 길이와 평가 목적에 맞춰 정합니다.</w:t>
      </w:r>
    </w:p>
    <w:p>
      <w:pPr>
        <w:pStyle w:val="Heading2"/>
      </w:pPr>
      <w:r>
        <w:t>후보 수는 비싼 검사 전에 제한해야 합니다</w:t>
      </w:r>
    </w:p>
    <w:p>
      <w:r>
        <w:t>전체 cell 쌍을 TabICLv2로 검사한 다음 좋은 후보만 남기면 최초 계산량은 줄지 않습니다. 먼저 저렴한 입력 요약으로 cell당 후보를 제한하고, 그 후보에만 추론을 적용해야 합니다. 아래는 cell당 context 256개, query 64개, 방향별 후보 최대 16개를 가정한 작업량입니다. 설정의 최적성이나 실제 실행 시간을 뜻하지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778"/>
        <w:gridCol w:w="2721"/>
        <w:gridCol w:w="2721"/>
      </w:tblGrid>
      <w:tr>
        <w:trPr>
          <w:tblHeader/>
          <w:cantSplit/>
        </w:trPr>
        <w:tc>
          <w:tcPr>
            <w:tcW w:type="dxa" w:w="1304"/>
            <w:vAlign w:val="center"/>
            <w:tcMar>
              <w:top w:w="85" w:type="dxa"/>
              <w:bottom w:w="85" w:type="dxa"/>
              <w:left w:w="95" w:type="dxa"/>
              <w:right w:w="95" w:type="dxa"/>
            </w:tcMar>
            <w:shd w:fill="F2F2F2"/>
          </w:tcPr>
          <w:p>
            <w:pPr>
              <w:keepNext/>
              <w:spacing w:after="0" w:line="260" w:lineRule="exact"/>
            </w:pPr>
            <w:r>
              <w:rPr>
                <w:b/>
                <w:sz w:val="19"/>
              </w:rPr>
              <w:t>cell 수</w:t>
            </w:r>
          </w:p>
        </w:tc>
        <w:tc>
          <w:tcPr>
            <w:tcW w:type="dxa" w:w="2778"/>
            <w:vAlign w:val="center"/>
            <w:tcMar>
              <w:top w:w="85" w:type="dxa"/>
              <w:bottom w:w="85" w:type="dxa"/>
              <w:left w:w="95" w:type="dxa"/>
              <w:right w:w="95" w:type="dxa"/>
            </w:tcMar>
            <w:shd w:fill="F2F2F2"/>
          </w:tcPr>
          <w:p>
            <w:pPr>
              <w:keepNext/>
              <w:spacing w:after="0" w:line="260" w:lineRule="exact"/>
            </w:pPr>
            <w:r>
              <w:rPr>
                <w:b/>
                <w:sz w:val="19"/>
              </w:rPr>
              <w:t>전체 교차 query</w:t>
            </w:r>
          </w:p>
        </w:tc>
        <w:tc>
          <w:tcPr>
            <w:tcW w:type="dxa" w:w="2721"/>
            <w:vAlign w:val="center"/>
            <w:tcMar>
              <w:top w:w="85" w:type="dxa"/>
              <w:bottom w:w="85" w:type="dxa"/>
              <w:left w:w="95" w:type="dxa"/>
              <w:right w:w="95" w:type="dxa"/>
            </w:tcMar>
            <w:shd w:fill="F2F2F2"/>
          </w:tcPr>
          <w:p>
            <w:pPr>
              <w:keepNext/>
              <w:spacing w:after="0" w:line="260" w:lineRule="exact"/>
            </w:pPr>
            <w:r>
              <w:rPr>
                <w:b/>
                <w:sz w:val="19"/>
              </w:rPr>
              <w:t>방향별 후보 제한</w:t>
            </w:r>
          </w:p>
        </w:tc>
        <w:tc>
          <w:tcPr>
            <w:tcW w:type="dxa" w:w="2721"/>
            <w:vAlign w:val="center"/>
            <w:tcMar>
              <w:top w:w="85" w:type="dxa"/>
              <w:bottom w:w="85" w:type="dxa"/>
              <w:left w:w="95" w:type="dxa"/>
              <w:right w:w="95" w:type="dxa"/>
            </w:tcMar>
            <w:shd w:fill="F2F2F2"/>
          </w:tcPr>
          <w:p>
            <w:pPr>
              <w:keepNext/>
              <w:spacing w:after="0" w:line="260" w:lineRule="exact"/>
            </w:pPr>
            <w:r>
              <w:rPr>
                <w:b/>
                <w:sz w:val="19"/>
              </w:rPr>
              <w:t>후보를 양방향 검사</w:t>
            </w:r>
          </w:p>
        </w:tc>
      </w:tr>
      <w:tr>
        <w:trPr>
          <w:cantSplit/>
        </w:trPr>
        <w:tc>
          <w:tcPr>
            <w:tcW w:type="dxa" w:w="1304"/>
            <w:vAlign w:val="center"/>
            <w:tcMar>
              <w:top w:w="85" w:type="dxa"/>
              <w:bottom w:w="85" w:type="dxa"/>
              <w:left w:w="95" w:type="dxa"/>
              <w:right w:w="95" w:type="dxa"/>
            </w:tcMar>
          </w:tcPr>
          <w:p>
            <w:pPr>
              <w:spacing w:after="0" w:line="260" w:lineRule="exact"/>
            </w:pPr>
            <w:r>
              <w:rPr>
                <w:b w:val="0"/>
                <w:sz w:val="19"/>
              </w:rPr>
              <w:t>128</w:t>
            </w:r>
          </w:p>
        </w:tc>
        <w:tc>
          <w:tcPr>
            <w:tcW w:type="dxa" w:w="2778"/>
            <w:vAlign w:val="center"/>
            <w:tcMar>
              <w:top w:w="85" w:type="dxa"/>
              <w:bottom w:w="85" w:type="dxa"/>
              <w:left w:w="95" w:type="dxa"/>
              <w:right w:w="95" w:type="dxa"/>
            </w:tcMar>
          </w:tcPr>
          <w:p>
            <w:pPr>
              <w:spacing w:after="0" w:line="260" w:lineRule="exact"/>
            </w:pPr>
            <w:r>
              <w:rPr>
                <w:b w:val="0"/>
                <w:sz w:val="19"/>
              </w:rPr>
              <w:t>1,040,384</w:t>
            </w:r>
          </w:p>
        </w:tc>
        <w:tc>
          <w:tcPr>
            <w:tcW w:type="dxa" w:w="2721"/>
            <w:vAlign w:val="center"/>
            <w:tcMar>
              <w:top w:w="85" w:type="dxa"/>
              <w:bottom w:w="85" w:type="dxa"/>
              <w:left w:w="95" w:type="dxa"/>
              <w:right w:w="95" w:type="dxa"/>
            </w:tcMar>
          </w:tcPr>
          <w:p>
            <w:pPr>
              <w:spacing w:after="0" w:line="260" w:lineRule="exact"/>
            </w:pPr>
            <w:r>
              <w:rPr>
                <w:b w:val="0"/>
                <w:sz w:val="19"/>
              </w:rPr>
              <w:t>131,072</w:t>
            </w:r>
          </w:p>
        </w:tc>
        <w:tc>
          <w:tcPr>
            <w:tcW w:type="dxa" w:w="2721"/>
            <w:vAlign w:val="center"/>
            <w:tcMar>
              <w:top w:w="85" w:type="dxa"/>
              <w:bottom w:w="85" w:type="dxa"/>
              <w:left w:w="95" w:type="dxa"/>
              <w:right w:w="95" w:type="dxa"/>
            </w:tcMar>
          </w:tcPr>
          <w:p>
            <w:pPr>
              <w:spacing w:after="0" w:line="260" w:lineRule="exact"/>
            </w:pPr>
            <w:r>
              <w:rPr>
                <w:b w:val="0"/>
                <w:sz w:val="19"/>
              </w:rPr>
              <w:t>262,144</w:t>
            </w:r>
          </w:p>
        </w:tc>
      </w:tr>
      <w:tr>
        <w:trPr>
          <w:cantSplit/>
        </w:trPr>
        <w:tc>
          <w:tcPr>
            <w:tcW w:type="dxa" w:w="1304"/>
            <w:vAlign w:val="center"/>
            <w:tcMar>
              <w:top w:w="85" w:type="dxa"/>
              <w:bottom w:w="85" w:type="dxa"/>
              <w:left w:w="95" w:type="dxa"/>
              <w:right w:w="95" w:type="dxa"/>
            </w:tcMar>
          </w:tcPr>
          <w:p>
            <w:pPr>
              <w:spacing w:after="0" w:line="260" w:lineRule="exact"/>
            </w:pPr>
            <w:r>
              <w:rPr>
                <w:b w:val="0"/>
                <w:sz w:val="19"/>
              </w:rPr>
              <w:t>1,024</w:t>
            </w:r>
          </w:p>
        </w:tc>
        <w:tc>
          <w:tcPr>
            <w:tcW w:type="dxa" w:w="2778"/>
            <w:vAlign w:val="center"/>
            <w:tcMar>
              <w:top w:w="85" w:type="dxa"/>
              <w:bottom w:w="85" w:type="dxa"/>
              <w:left w:w="95" w:type="dxa"/>
              <w:right w:w="95" w:type="dxa"/>
            </w:tcMar>
          </w:tcPr>
          <w:p>
            <w:pPr>
              <w:spacing w:after="0" w:line="260" w:lineRule="exact"/>
            </w:pPr>
            <w:r>
              <w:rPr>
                <w:b w:val="0"/>
                <w:sz w:val="19"/>
              </w:rPr>
              <w:t>67,043,328</w:t>
            </w:r>
          </w:p>
        </w:tc>
        <w:tc>
          <w:tcPr>
            <w:tcW w:type="dxa" w:w="2721"/>
            <w:vAlign w:val="center"/>
            <w:tcMar>
              <w:top w:w="85" w:type="dxa"/>
              <w:bottom w:w="85" w:type="dxa"/>
              <w:left w:w="95" w:type="dxa"/>
              <w:right w:w="95" w:type="dxa"/>
            </w:tcMar>
          </w:tcPr>
          <w:p>
            <w:pPr>
              <w:spacing w:after="0" w:line="260" w:lineRule="exact"/>
            </w:pPr>
            <w:r>
              <w:rPr>
                <w:b w:val="0"/>
                <w:sz w:val="19"/>
              </w:rPr>
              <w:t>1,048,576</w:t>
            </w:r>
          </w:p>
        </w:tc>
        <w:tc>
          <w:tcPr>
            <w:tcW w:type="dxa" w:w="2721"/>
            <w:vAlign w:val="center"/>
            <w:tcMar>
              <w:top w:w="85" w:type="dxa"/>
              <w:bottom w:w="85" w:type="dxa"/>
              <w:left w:w="95" w:type="dxa"/>
              <w:right w:w="95" w:type="dxa"/>
            </w:tcMar>
          </w:tcPr>
          <w:p>
            <w:pPr>
              <w:spacing w:after="0" w:line="260" w:lineRule="exact"/>
            </w:pPr>
            <w:r>
              <w:rPr>
                <w:b w:val="0"/>
                <w:sz w:val="19"/>
              </w:rPr>
              <w:t>2,097,152</w:t>
            </w:r>
          </w:p>
        </w:tc>
      </w:tr>
      <w:tr>
        <w:trPr>
          <w:cantSplit/>
        </w:trPr>
        <w:tc>
          <w:tcPr>
            <w:tcW w:type="dxa" w:w="1304"/>
            <w:vAlign w:val="center"/>
            <w:tcMar>
              <w:top w:w="85" w:type="dxa"/>
              <w:bottom w:w="85" w:type="dxa"/>
              <w:left w:w="95" w:type="dxa"/>
              <w:right w:w="95" w:type="dxa"/>
            </w:tcMar>
          </w:tcPr>
          <w:p>
            <w:pPr>
              <w:spacing w:after="0" w:line="260" w:lineRule="exact"/>
            </w:pPr>
            <w:r>
              <w:rPr>
                <w:b w:val="0"/>
                <w:sz w:val="19"/>
              </w:rPr>
              <w:t>10,000</w:t>
            </w:r>
          </w:p>
        </w:tc>
        <w:tc>
          <w:tcPr>
            <w:tcW w:type="dxa" w:w="2778"/>
            <w:vAlign w:val="center"/>
            <w:tcMar>
              <w:top w:w="85" w:type="dxa"/>
              <w:bottom w:w="85" w:type="dxa"/>
              <w:left w:w="95" w:type="dxa"/>
              <w:right w:w="95" w:type="dxa"/>
            </w:tcMar>
          </w:tcPr>
          <w:p>
            <w:pPr>
              <w:spacing w:after="0" w:line="260" w:lineRule="exact"/>
            </w:pPr>
            <w:r>
              <w:rPr>
                <w:b w:val="0"/>
                <w:sz w:val="19"/>
              </w:rPr>
              <w:t>6,399,360,000</w:t>
            </w:r>
          </w:p>
        </w:tc>
        <w:tc>
          <w:tcPr>
            <w:tcW w:type="dxa" w:w="2721"/>
            <w:vAlign w:val="center"/>
            <w:tcMar>
              <w:top w:w="85" w:type="dxa"/>
              <w:bottom w:w="85" w:type="dxa"/>
              <w:left w:w="95" w:type="dxa"/>
              <w:right w:w="95" w:type="dxa"/>
            </w:tcMar>
          </w:tcPr>
          <w:p>
            <w:pPr>
              <w:spacing w:after="0" w:line="260" w:lineRule="exact"/>
            </w:pPr>
            <w:r>
              <w:rPr>
                <w:b w:val="0"/>
                <w:sz w:val="19"/>
              </w:rPr>
              <w:t>10,240,000</w:t>
            </w:r>
          </w:p>
        </w:tc>
        <w:tc>
          <w:tcPr>
            <w:tcW w:type="dxa" w:w="2721"/>
            <w:vAlign w:val="center"/>
            <w:tcMar>
              <w:top w:w="85" w:type="dxa"/>
              <w:bottom w:w="85" w:type="dxa"/>
              <w:left w:w="95" w:type="dxa"/>
              <w:right w:w="95" w:type="dxa"/>
            </w:tcMar>
          </w:tcPr>
          <w:p>
            <w:pPr>
              <w:spacing w:after="0" w:line="260" w:lineRule="exact"/>
            </w:pPr>
            <w:r>
              <w:rPr>
                <w:b w:val="0"/>
                <w:sz w:val="19"/>
              </w:rPr>
              <w:t>20,480,000</w:t>
            </w:r>
          </w:p>
        </w:tc>
      </w:tr>
    </w:tbl>
    <w:p>
      <w:pPr>
        <w:spacing w:after="0" w:line="60" w:lineRule="exact"/>
      </w:pPr>
      <w:r>
        <w:rPr>
          <w:sz w:val="2"/>
        </w:rPr>
      </w:r>
    </w:p>
    <w:p>
      <w:pPr>
        <w:spacing w:line="250" w:lineRule="exact" w:after="120"/>
      </w:pPr>
      <w:r>
        <w:rPr>
          <w:sz w:val="18"/>
        </w:rPr>
        <w:t>단위는 예측할 query 행 수입니다. 자기 context로 자기 query를 평가하는 N×64행은 별도입니다. 양방향 열은 중복을 제거한 후보 쌍마다 양쪽을 검사할 때의 상한입니다.</w:t>
      </w:r>
    </w:p>
    <w:p>
      <w:r>
        <w:t>전체 교차 검사는 N×(N−1)×64행, 방향별 후보 검사는 최대 N×16×64행입니다. 후보를 무방향 쌍으로 만든 뒤 양방향으로 검사하면 최대 2×N×16×64행이 됩니다. 한쪽에서 선택한 후보가 반대쪽에서도 선택되었다고 가정해 후보 수를 임의로 절반으로 줄이면 안 됩니다.</w:t>
      </w:r>
    </w:p>
    <w:p>
      <w:r>
        <w:t>cell별 context를 고정한 교차 예측은 준비 결과를 재사용할 수 있습니다. 반면 sample 교체나 cluster 병합으로 context 내용이 바뀌면 새 준비 비용이 생깁니다. 이를 포함하지 않은 호출 수는 전체 비용이 아닙니다. 후보 제한으로 놓친 유용한 조합도 작은 전체 탐색과 비교해야 합니다. 이 절은 재설계의 공통 요건이며, 신규성이 확인된 최종 알고리즘은 아닙니다.</w:t>
      </w:r>
    </w:p>
    <w:p>
      <w:pPr>
        <w:pStyle w:val="Heading1"/>
        <w:pageBreakBefore/>
      </w:pPr>
      <w:r>
        <w:t>4 아직 필요한 결정과 근거</w:t>
      </w:r>
    </w:p>
    <w:p>
      <w:r>
        <w:t>현재 자료에서는 하나의 global RCTL도 강한 기준선이었습니다. 첫 seed의 MAE는 0.071068로, 확인한 4개 cluster 방법보다 작았습니다. 이는 모든 데이터에서 global 모델이 낫다는 결론이 아닙니다. 다만 cluster를 나눠야 하는 이유를 먼저 구체화해야 한다는 결과입니다. 모델 수가 다른 이 비교는 같은 K의 주 비교와 구분합니다. [실행 기록 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572"/>
        <w:gridCol w:w="3628"/>
      </w:tblGrid>
      <w:tr>
        <w:trPr>
          <w:tblHeader/>
          <w:cantSplit/>
        </w:trPr>
        <w:tc>
          <w:tcPr>
            <w:tcW w:type="dxa" w:w="2324"/>
            <w:vAlign w:val="center"/>
            <w:tcMar>
              <w:top w:w="85" w:type="dxa"/>
              <w:bottom w:w="85" w:type="dxa"/>
              <w:left w:w="95" w:type="dxa"/>
              <w:right w:w="95" w:type="dxa"/>
            </w:tcMar>
            <w:shd w:fill="F2F2F2"/>
          </w:tcPr>
          <w:p>
            <w:pPr>
              <w:keepNext/>
              <w:spacing w:after="0" w:line="260" w:lineRule="exact"/>
            </w:pPr>
            <w:r>
              <w:rPr>
                <w:b/>
                <w:sz w:val="19"/>
              </w:rPr>
              <w:t>판단 항목</w:t>
            </w:r>
          </w:p>
        </w:tc>
        <w:tc>
          <w:tcPr>
            <w:tcW w:type="dxa" w:w="3572"/>
            <w:vAlign w:val="center"/>
            <w:tcMar>
              <w:top w:w="85" w:type="dxa"/>
              <w:bottom w:w="85" w:type="dxa"/>
              <w:left w:w="95" w:type="dxa"/>
              <w:right w:w="95" w:type="dxa"/>
            </w:tcMar>
            <w:shd w:fill="F2F2F2"/>
          </w:tcPr>
          <w:p>
            <w:pPr>
              <w:keepNext/>
              <w:spacing w:after="0" w:line="260" w:lineRule="exact"/>
            </w:pPr>
            <w:r>
              <w:rPr>
                <w:b/>
                <w:sz w:val="19"/>
              </w:rPr>
              <w:t>현재 확보한 근거</w:t>
            </w:r>
          </w:p>
        </w:tc>
        <w:tc>
          <w:tcPr>
            <w:tcW w:type="dxa" w:w="3628"/>
            <w:vAlign w:val="center"/>
            <w:tcMar>
              <w:top w:w="85" w:type="dxa"/>
              <w:bottom w:w="85" w:type="dxa"/>
              <w:left w:w="95" w:type="dxa"/>
              <w:right w:w="95" w:type="dxa"/>
            </w:tcMar>
            <w:shd w:fill="F2F2F2"/>
          </w:tcPr>
          <w:p>
            <w:pPr>
              <w:keepNext/>
              <w:spacing w:after="0" w:line="260" w:lineRule="exact"/>
            </w:pPr>
            <w:r>
              <w:rPr>
                <w:b/>
                <w:sz w:val="19"/>
              </w:rPr>
              <w:t>남은 핵심</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TabICLv2 실행 가능성</w:t>
            </w:r>
          </w:p>
        </w:tc>
        <w:tc>
          <w:tcPr>
            <w:tcW w:type="dxa" w:w="3572"/>
            <w:vAlign w:val="center"/>
            <w:tcMar>
              <w:top w:w="85" w:type="dxa"/>
              <w:bottom w:w="85" w:type="dxa"/>
              <w:left w:w="95" w:type="dxa"/>
              <w:right w:w="95" w:type="dxa"/>
            </w:tcMar>
          </w:tcPr>
          <w:p>
            <w:pPr>
              <w:spacing w:after="0" w:line="260" w:lineRule="exact"/>
            </w:pPr>
            <w:r>
              <w:rPr>
                <w:b w:val="0"/>
                <w:sz w:val="19"/>
              </w:rPr>
              <w:t>공식 회귀 가중치로 실제 추론</w:t>
            </w:r>
          </w:p>
        </w:tc>
        <w:tc>
          <w:tcPr>
            <w:tcW w:type="dxa" w:w="3628"/>
            <w:vAlign w:val="center"/>
            <w:tcMar>
              <w:top w:w="85" w:type="dxa"/>
              <w:bottom w:w="85" w:type="dxa"/>
              <w:left w:w="95" w:type="dxa"/>
              <w:right w:w="95" w:type="dxa"/>
            </w:tcMar>
          </w:tcPr>
          <w:p>
            <w:pPr>
              <w:spacing w:after="0" w:line="260" w:lineRule="exact"/>
            </w:pPr>
            <w:r>
              <w:rPr>
                <w:b w:val="0"/>
                <w:sz w:val="19"/>
              </w:rPr>
              <w:t>도시 전체 규모의 비용</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직접 예측의 이점</w:t>
            </w:r>
          </w:p>
        </w:tc>
        <w:tc>
          <w:tcPr>
            <w:tcW w:type="dxa" w:w="3572"/>
            <w:vAlign w:val="center"/>
            <w:tcMar>
              <w:top w:w="85" w:type="dxa"/>
              <w:bottom w:w="85" w:type="dxa"/>
              <w:left w:w="95" w:type="dxa"/>
              <w:right w:w="95" w:type="dxa"/>
            </w:tcMar>
          </w:tcPr>
          <w:p>
            <w:pPr>
              <w:spacing w:after="0" w:line="260" w:lineRule="exact"/>
            </w:pPr>
            <w:r>
              <w:rPr>
                <w:b w:val="0"/>
                <w:sz w:val="19"/>
              </w:rPr>
              <w:t>4개·16개 cell의 국소적 이득</w:t>
            </w:r>
          </w:p>
        </w:tc>
        <w:tc>
          <w:tcPr>
            <w:tcW w:type="dxa" w:w="3628"/>
            <w:vAlign w:val="center"/>
            <w:tcMar>
              <w:top w:w="85" w:type="dxa"/>
              <w:bottom w:w="85" w:type="dxa"/>
              <w:left w:w="95" w:type="dxa"/>
              <w:right w:w="95" w:type="dxa"/>
            </w:tcMar>
          </w:tcPr>
          <w:p>
            <w:pPr>
              <w:spacing w:after="0" w:line="260" w:lineRule="exact"/>
            </w:pPr>
            <w:r>
              <w:rPr>
                <w:b w:val="0"/>
                <w:sz w:val="19"/>
              </w:rPr>
              <w:t>새 기간과 데이터의 재현성</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clustering의 필요성</w:t>
            </w:r>
          </w:p>
        </w:tc>
        <w:tc>
          <w:tcPr>
            <w:tcW w:type="dxa" w:w="3572"/>
            <w:vAlign w:val="center"/>
            <w:tcMar>
              <w:top w:w="85" w:type="dxa"/>
              <w:bottom w:w="85" w:type="dxa"/>
              <w:left w:w="95" w:type="dxa"/>
              <w:right w:w="95" w:type="dxa"/>
            </w:tcMar>
          </w:tcPr>
          <w:p>
            <w:pPr>
              <w:spacing w:after="0" w:line="260" w:lineRule="exact"/>
            </w:pPr>
            <w:r>
              <w:rPr>
                <w:b w:val="0"/>
                <w:sz w:val="19"/>
              </w:rPr>
              <w:t>global 및 같은 K 대안 비교</w:t>
            </w:r>
          </w:p>
        </w:tc>
        <w:tc>
          <w:tcPr>
            <w:tcW w:type="dxa" w:w="3628"/>
            <w:vAlign w:val="center"/>
            <w:tcMar>
              <w:top w:w="85" w:type="dxa"/>
              <w:bottom w:w="85" w:type="dxa"/>
              <w:left w:w="95" w:type="dxa"/>
              <w:right w:w="95" w:type="dxa"/>
            </w:tcMar>
          </w:tcPr>
          <w:p>
            <w:pPr>
              <w:spacing w:after="0" w:line="260" w:lineRule="exact"/>
            </w:pPr>
            <w:r>
              <w:rPr>
                <w:b w:val="0"/>
                <w:sz w:val="19"/>
              </w:rPr>
              <w:t>단순 대안이 남기는 실제 손해</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TabICLv2가 바꾸는 결정</w:t>
            </w:r>
          </w:p>
        </w:tc>
        <w:tc>
          <w:tcPr>
            <w:tcW w:type="dxa" w:w="3572"/>
            <w:vAlign w:val="center"/>
            <w:tcMar>
              <w:top w:w="85" w:type="dxa"/>
              <w:bottom w:w="85" w:type="dxa"/>
              <w:left w:w="95" w:type="dxa"/>
              <w:right w:w="95" w:type="dxa"/>
            </w:tcMar>
          </w:tcPr>
          <w:p>
            <w:pPr>
              <w:spacing w:after="0" w:line="260" w:lineRule="exact"/>
            </w:pPr>
            <w:r>
              <w:rPr>
                <w:b w:val="0"/>
                <w:sz w:val="19"/>
              </w:rPr>
              <w:t>일부 후보는 소속이 변하지 않음</w:t>
            </w:r>
          </w:p>
        </w:tc>
        <w:tc>
          <w:tcPr>
            <w:tcW w:type="dxa" w:w="3628"/>
            <w:vAlign w:val="center"/>
            <w:tcMar>
              <w:top w:w="85" w:type="dxa"/>
              <w:bottom w:w="85" w:type="dxa"/>
              <w:left w:w="95" w:type="dxa"/>
              <w:right w:w="95" w:type="dxa"/>
            </w:tcMar>
          </w:tcPr>
          <w:p>
            <w:pPr>
              <w:spacing w:after="0" w:line="260" w:lineRule="exact"/>
            </w:pPr>
            <w:r>
              <w:rPr>
                <w:b w:val="0"/>
                <w:sz w:val="19"/>
              </w:rPr>
              <w:t>다른 유용한 결정을 만드는 근거</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RCTL 성능과의 연결</w:t>
            </w:r>
          </w:p>
        </w:tc>
        <w:tc>
          <w:tcPr>
            <w:tcW w:type="dxa" w:w="3572"/>
            <w:vAlign w:val="center"/>
            <w:tcMar>
              <w:top w:w="85" w:type="dxa"/>
              <w:bottom w:w="85" w:type="dxa"/>
              <w:left w:w="95" w:type="dxa"/>
              <w:right w:w="95" w:type="dxa"/>
            </w:tcMar>
          </w:tcPr>
          <w:p>
            <w:pPr>
              <w:spacing w:after="0" w:line="260" w:lineRule="exact"/>
            </w:pPr>
            <w:r>
              <w:rPr>
                <w:b w:val="0"/>
                <w:sz w:val="19"/>
              </w:rPr>
              <w:t>고정 군집안 사후 학습 완료</w:t>
            </w:r>
          </w:p>
        </w:tc>
        <w:tc>
          <w:tcPr>
            <w:tcW w:type="dxa" w:w="3628"/>
            <w:vAlign w:val="center"/>
            <w:tcMar>
              <w:top w:w="85" w:type="dxa"/>
              <w:bottom w:w="85" w:type="dxa"/>
              <w:left w:w="95" w:type="dxa"/>
              <w:right w:w="95" w:type="dxa"/>
            </w:tcMar>
          </w:tcPr>
          <w:p>
            <w:pPr>
              <w:spacing w:after="0" w:line="260" w:lineRule="exact"/>
            </w:pPr>
            <w:r>
              <w:rPr>
                <w:b w:val="0"/>
                <w:sz w:val="19"/>
              </w:rPr>
              <w:t>Tab 군집안의 이득은 미확보</w:t>
            </w:r>
          </w:p>
        </w:tc>
      </w:tr>
      <w:tr>
        <w:trPr>
          <w:cantSplit/>
        </w:trPr>
        <w:tc>
          <w:tcPr>
            <w:tcW w:type="dxa" w:w="2324"/>
            <w:vAlign w:val="center"/>
            <w:tcMar>
              <w:top w:w="85" w:type="dxa"/>
              <w:bottom w:w="85" w:type="dxa"/>
              <w:left w:w="95" w:type="dxa"/>
              <w:right w:w="95" w:type="dxa"/>
            </w:tcMar>
          </w:tcPr>
          <w:p>
            <w:pPr>
              <w:spacing w:after="0" w:line="260" w:lineRule="exact"/>
            </w:pPr>
            <w:r>
              <w:rPr>
                <w:b w:val="0"/>
                <w:sz w:val="19"/>
              </w:rPr>
              <w:t>신규성과 최종 추천</w:t>
            </w:r>
          </w:p>
        </w:tc>
        <w:tc>
          <w:tcPr>
            <w:tcW w:type="dxa" w:w="3572"/>
            <w:vAlign w:val="center"/>
            <w:tcMar>
              <w:top w:w="85" w:type="dxa"/>
              <w:bottom w:w="85" w:type="dxa"/>
              <w:left w:w="95" w:type="dxa"/>
              <w:right w:w="95" w:type="dxa"/>
            </w:tcMar>
          </w:tcPr>
          <w:p>
            <w:pPr>
              <w:spacing w:after="0" w:line="260" w:lineRule="exact"/>
            </w:pPr>
            <w:r>
              <w:rPr>
                <w:b w:val="0"/>
                <w:sz w:val="19"/>
              </w:rPr>
              <w:t>근접 방법과 중복 원리 확인</w:t>
            </w:r>
          </w:p>
        </w:tc>
        <w:tc>
          <w:tcPr>
            <w:tcW w:type="dxa" w:w="3628"/>
            <w:vAlign w:val="center"/>
            <w:tcMar>
              <w:top w:w="85" w:type="dxa"/>
              <w:bottom w:w="85" w:type="dxa"/>
              <w:left w:w="95" w:type="dxa"/>
              <w:right w:w="95" w:type="dxa"/>
            </w:tcMar>
          </w:tcPr>
          <w:p>
            <w:pPr>
              <w:spacing w:after="0" w:line="260" w:lineRule="exact"/>
            </w:pPr>
            <w:r>
              <w:rPr>
                <w:b w:val="0"/>
                <w:sz w:val="19"/>
              </w:rPr>
              <w:t>채택할 새 방향은 미확정</w:t>
            </w:r>
          </w:p>
        </w:tc>
      </w:tr>
    </w:tbl>
    <w:p>
      <w:pPr>
        <w:spacing w:after="0" w:line="60" w:lineRule="exact"/>
      </w:pPr>
      <w:r>
        <w:rPr>
          <w:sz w:val="2"/>
        </w:rPr>
      </w:r>
    </w:p>
    <w:p>
      <w:pPr>
        <w:pStyle w:val="Heading2"/>
      </w:pPr>
      <w:r>
        <w:t>다음 설계를 바꾸는 정보</w:t>
      </w:r>
    </w:p>
    <w:p>
      <w:r>
        <w:t>데이터 분리, 모델당 메모리·지연 한도, cell별 갱신 주기처럼 global 모델을 쓰기 어려운 실제 조건이 있다면, clustering의 목표를 그 조건 아래의 비용과 정확도로 정의할 수 있습니다. 아직 해당 조건은 제공되지 않았습니다. 연구를 성립시키기 위해 임의의 운영 제약을 가정하지 않습니다.</w:t>
      </w:r>
    </w:p>
    <w:p>
      <w:r>
        <w:t>그러한 제약을 전제로 하지 않는다면, 계절·lag·정규화와 global 학습을 적용한 뒤에도 남는 손해를 새로운 직접 근거에서 찾아야 합니다. 기존 개발 구간의 유리한 cell만 골라내거나 이미 탈락한 점수에 보정항을 붙이는 방식은 다음 후보의 근거가 되지 않습니다.</w:t>
      </w:r>
    </w:p>
    <w:p>
      <w:pPr>
        <w:pStyle w:val="Heading2"/>
      </w:pPr>
      <w:r>
        <w:t>남은 실행 범위</w:t>
      </w:r>
    </w:p>
    <w:p>
      <w:r>
        <w:t>누적 예산에서 TabICLv2는 context 11개와 query 20,640행이 남아 있고, 추가 RCTL 학습은 허용되지 않습니다. 이번 정리에서는 모델을 새로 실행하지 않았습니다. 따라서 새 규칙을 제안하더라도 RCTL 성능 확인을 완료했다고 표시할 수 없습니다. 먼저 저장된 근거와 원문으로 판단할 수 있는 결정을 특정해야 합니다.</w:t>
      </w:r>
    </w:p>
    <w:p>
      <w:r>
        <w:t>현재까지 사용한 Milan 기간은 후속 설계에 참조되었으므로 개발 자료입니다. 최종 추천 방향과 독립적인 최종 평가의 요건은 남아 있습니다. 본 문서는 그 요건을 충족했다고 주장하는 연구계획서가 아니라, 확인된 사실과 미해결 연결을 교수님께 검토받기 위한 자료입니다.</w:t>
      </w:r>
    </w:p>
    <w:p>
      <w:pPr>
        <w:pStyle w:val="Heading1"/>
        <w:pageBreakBefore/>
      </w:pPr>
      <w:r>
        <w:t>5 주요 출처와 재현 기록</w:t>
      </w:r>
    </w:p>
    <w:p>
      <w:r>
        <w:t>아래 원문은 방법의 근거이고, 로컬 실행 기록은 이번 자료에서 얻은 관찰의 근거입니다. 개별 선행연구의 성공을 현재 TabICLv2 군집안의 성공으로 합산하지 않았습니다. 상세 식·절·코드 위치는 연결된 검토 기록에 보존했습니다.</w:t>
      </w:r>
    </w:p>
    <w:p>
      <w:pPr>
        <w:spacing w:after="100" w:line="250" w:lineRule="exact"/>
      </w:pPr>
      <w:hyperlink r:id="rId10">
        <w:r>
          <w:rPr>
            <w:rFonts w:ascii="맑은 고딕" w:hAnsi="맑은 고딕" w:eastAsia="맑은 고딕"/>
            <w:color w:val="234E70"/>
            <w:sz w:val="18"/>
          </w:rPr>
          <w:t>[1] López-Oriona, Sun, Vilar. Improving the prediction accuracy of statistical models: A new hierarchical clustering approach. Statistics and Computing, 2025. §2, Algorithm 1, Theorem 1–2.</w:t>
        </w:r>
      </w:hyperlink>
    </w:p>
    <w:p>
      <w:pPr>
        <w:spacing w:after="100" w:line="250" w:lineRule="exact"/>
      </w:pPr>
      <w:hyperlink r:id="rId11">
        <w:r>
          <w:rPr>
            <w:rFonts w:ascii="맑은 고딕" w:hAnsi="맑은 고딕" w:eastAsia="맑은 고딕"/>
            <w:color w:val="234E70"/>
            <w:sz w:val="18"/>
          </w:rPr>
          <w:t>[2] RMB-CLE. arXiv:2602.14231v1. §3.1–3.3, 식 5–13.</w:t>
        </w:r>
      </w:hyperlink>
    </w:p>
    <w:p>
      <w:pPr>
        <w:spacing w:after="100" w:line="250" w:lineRule="exact"/>
      </w:pPr>
      <w:hyperlink r:id="rId12">
        <w:r>
          <w:rPr>
            <w:rFonts w:ascii="맑은 고딕" w:hAnsi="맑은 고딕" w:eastAsia="맑은 고딕"/>
            <w:color w:val="234E70"/>
            <w:sz w:val="18"/>
          </w:rPr>
          <w:t>[3] ETAP. arXiv:2602.18591v1. §3.1–3.3.</w:t>
        </w:r>
      </w:hyperlink>
    </w:p>
    <w:p>
      <w:pPr>
        <w:spacing w:after="100" w:line="250" w:lineRule="exact"/>
      </w:pPr>
      <w:hyperlink r:id="rId13">
        <w:r>
          <w:rPr>
            <w:rFonts w:ascii="맑은 고딕" w:hAnsi="맑은 고딕" w:eastAsia="맑은 고딕"/>
            <w:color w:val="234E70"/>
            <w:sz w:val="18"/>
          </w:rPr>
          <w:t>[4] On the Role of Time Series Clustering in Traffic Matrix Prediction. arXiv:2604.26081v1.</w:t>
        </w:r>
      </w:hyperlink>
    </w:p>
    <w:p>
      <w:pPr>
        <w:spacing w:after="100" w:line="250" w:lineRule="exact"/>
      </w:pPr>
      <w:hyperlink r:id="rId14">
        <w:r>
          <w:rPr>
            <w:rFonts w:ascii="맑은 고딕" w:hAnsi="맑은 고딕" w:eastAsia="맑은 고딕"/>
            <w:color w:val="234E70"/>
            <w:sz w:val="18"/>
          </w:rPr>
          <w:t>[5] Architectural Bias vs. Feature Engineering: Deconstructing the Limits of Tabular Foundation Models in Traffic Forecasting. SMBD 2025.</w:t>
        </w:r>
      </w:hyperlink>
    </w:p>
    <w:p>
      <w:pPr>
        <w:spacing w:after="100" w:line="250" w:lineRule="exact"/>
      </w:pPr>
      <w:hyperlink r:id="rId15">
        <w:r>
          <w:rPr>
            <w:rFonts w:ascii="맑은 고딕" w:hAnsi="맑은 고딕" w:eastAsia="맑은 고딕"/>
            <w:color w:val="234E70"/>
            <w:sz w:val="18"/>
          </w:rPr>
          <w:t>[6] From Tables to Time: Extending TabPFN-v2 to Time Series Forecasting. arXiv:2501.02945v4. §3과 §5. 해당 논문 버전의 외삽 결과이며 최신 TabPFN 전체의 한계로 일반화하지 않음.</w:t>
        </w:r>
      </w:hyperlink>
    </w:p>
    <w:p>
      <w:pPr>
        <w:spacing w:after="100" w:line="250" w:lineRule="exact"/>
      </w:pPr>
      <w:hyperlink r:id="rId16">
        <w:r>
          <w:rPr>
            <w:rFonts w:ascii="맑은 고딕" w:hAnsi="맑은 고딕" w:eastAsia="맑은 고딕"/>
            <w:color w:val="234E70"/>
            <w:sz w:val="18"/>
          </w:rPr>
          <w:t>[7] Time-Series Foundation Models for ISP Traffic Forecasting. arXiv:2511.17529v2. ISP 계층·단위·horizon을 구분한 평가.</w:t>
        </w:r>
      </w:hyperlink>
    </w:p>
    <w:p>
      <w:pPr>
        <w:spacing w:after="100" w:line="250" w:lineRule="exact"/>
      </w:pPr>
      <w:hyperlink r:id="rId17">
        <w:r>
          <w:rPr>
            <w:rFonts w:ascii="맑은 고딕" w:hAnsi="맑은 고딕" w:eastAsia="맑은 고딕"/>
            <w:color w:val="234E70"/>
            <w:sz w:val="18"/>
          </w:rPr>
          <w:t>[8] TabICLv2. 회귀 구조와 context 추론의 근거.</w:t>
        </w:r>
      </w:hyperlink>
    </w:p>
    <w:p>
      <w:pPr>
        <w:pStyle w:val="Heading2"/>
      </w:pPr>
      <w:r>
        <w:t>이번 판단을 재현할 수 있는 기록</w:t>
      </w:r>
    </w:p>
    <w:p>
      <w:pPr>
        <w:spacing w:after="100" w:line="250" w:lineRule="exact"/>
      </w:pPr>
      <w:hyperlink r:id="rId18">
        <w:r>
          <w:rPr>
            <w:rFonts w:ascii="맑은 고딕" w:hAnsi="맑은 고딕" w:eastAsia="맑은 고딕"/>
            <w:color w:val="234E70"/>
            <w:sz w:val="18"/>
          </w:rPr>
          <w:t>선행연구의 식과 알고리즘 및 설계 반영 기록</w:t>
        </w:r>
      </w:hyperlink>
    </w:p>
    <w:p>
      <w:pPr>
        <w:spacing w:after="100" w:line="250" w:lineRule="exact"/>
      </w:pPr>
      <w:hyperlink r:id="rId19">
        <w:r>
          <w:rPr>
            <w:rFonts w:ascii="맑은 고딕" w:hAnsi="맑은 고딕" w:eastAsia="맑은 고딕"/>
            <w:color w:val="234E70"/>
            <w:sz w:val="18"/>
          </w:rPr>
          <w:t>16개 cell의 고정 군집안과 RCTL 비교 결과</w:t>
        </w:r>
      </w:hyperlink>
    </w:p>
    <w:p>
      <w:pPr>
        <w:spacing w:after="100" w:line="250" w:lineRule="exact"/>
      </w:pPr>
      <w:hyperlink r:id="rId20">
        <w:r>
          <w:rPr>
            <w:rFonts w:ascii="맑은 고딕" w:hAnsi="맑은 고딕" w:eastAsia="맑은 고딕"/>
            <w:color w:val="234E70"/>
            <w:sz w:val="18"/>
          </w:rPr>
          <w:t>4개 cell의 직접 예측과 출력 압축 비교</w:t>
        </w:r>
      </w:hyperlink>
    </w:p>
    <w:p>
      <w:pPr>
        <w:spacing w:after="100" w:line="250" w:lineRule="exact"/>
      </w:pPr>
      <w:hyperlink r:id="rId21">
        <w:r>
          <w:rPr>
            <w:rFonts w:ascii="맑은 고딕" w:hAnsi="맑은 고딕" w:eastAsia="맑은 고딕"/>
            <w:color w:val="234E70"/>
            <w:sz w:val="18"/>
          </w:rPr>
          <w:t>16개 cell의 직접 예측과 동일 소속 확인</w:t>
        </w:r>
      </w:hyperlink>
    </w:p>
    <w:p>
      <w:pPr>
        <w:spacing w:after="100" w:line="250" w:lineRule="exact"/>
      </w:pPr>
      <w:hyperlink r:id="rId22">
        <w:r>
          <w:rPr>
            <w:rFonts w:ascii="맑은 고딕" w:hAnsi="맑은 고딕" w:eastAsia="맑은 고딕"/>
            <w:color w:val="234E70"/>
            <w:sz w:val="18"/>
          </w:rPr>
          <w:t>20개 결정 계열의 검토 및 재진입 조건</w:t>
        </w:r>
      </w:hyperlink>
    </w:p>
    <w:p>
      <w:pPr>
        <w:spacing w:after="100" w:line="250" w:lineRule="exact"/>
      </w:pPr>
      <w:hyperlink r:id="rId23">
        <w:r>
          <w:rPr>
            <w:rFonts w:ascii="맑은 고딕" w:hAnsi="맑은 고딕" w:eastAsia="맑은 고딕"/>
            <w:color w:val="234E70"/>
            <w:sz w:val="18"/>
          </w:rPr>
          <w:t>문서 수치의 원자료 hash와 작업량 계산</w:t>
        </w:r>
      </w:hyperlink>
    </w:p>
    <w:p>
      <w:pPr>
        <w:spacing w:line="250" w:lineRule="exact" w:after="120"/>
      </w:pPr>
      <w:r>
        <w:rPr>
          <w:sz w:val="18"/>
        </w:rPr>
        <w:t>실행 자료는 시간별 가공 Milan Internet activity이며 원 논문의 10분 단위 실험을 그대로 재현한 것은 아닙니다. 16개 cell의 표본은 비교적 활동량이 큰 영역입니다. PCC balanced 비교도 원본 UPC 전체 재현과 구분합니다.</w:t>
      </w:r>
    </w:p>
    <w:p>
      <w:pPr>
        <w:spacing w:line="250" w:lineRule="exact" w:after="120"/>
      </w:pPr>
      <w:r>
        <w:rPr>
          <w:sz w:val="18"/>
        </w:rPr>
        <w:t>회귀 가중치: tabicl-regressor-v2-20260212.ckpt. 공식 코드 commit: 0dbff3ec8fc68c123c87af77b0ea8b25cd2d23f3. RCTL은 기존 핵심 구조의 Torch port로, 복사 가중치의 forward 일치를 확인했으며 학습 경로의 동일성까지 주장하지 않습니다.</w:t>
      </w:r>
    </w:p>
    <w:sectPr w:rsidR="00FC693F" w:rsidRPr="0006063C" w:rsidSect="00034616">
      <w:footerReference w:type="default" r:id="rId9"/>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중간 검토본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140"/>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line="364" w:lineRule="exact"/>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99" w:lineRule="exact"/>
      <w:outlineLvl w:val="1"/>
      <w:snapToGrid w:val="0"/>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520" w:lineRule="exact" w:before="0"/>
      <w:contextualSpacing/>
      <w:snapToGrid w:val="0"/>
    </w:pPr>
    <w:rPr>
      <w:rFonts w:asciiTheme="majorHAnsi" w:eastAsiaTheme="majorEastAsia" w:hAnsiTheme="majorHAnsi" w:cstheme="majorBidi" w:ascii="맑은 고딕" w:hAnsi="맑은 고딕" w:eastAsia="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jungj/OneDrive/Desktop/%EC%97%B0%EA%B5%AC%EC%8B%A4/Tab-ICL/tmp/preflight_20260925/sources/HCP_2025.txt" TargetMode="External"/><Relationship Id="rId11" Type="http://schemas.openxmlformats.org/officeDocument/2006/relationships/hyperlink" Target="https://arxiv.org/abs/2602.14231v1" TargetMode="External"/><Relationship Id="rId12" Type="http://schemas.openxmlformats.org/officeDocument/2006/relationships/hyperlink" Target="https://arxiv.org/abs/2602.18591v1" TargetMode="External"/><Relationship Id="rId13" Type="http://schemas.openxmlformats.org/officeDocument/2006/relationships/hyperlink" Target="https://arxiv.org/abs/2604.26081v1" TargetMode="External"/><Relationship Id="rId14" Type="http://schemas.openxmlformats.org/officeDocument/2006/relationships/hyperlink" Target="https://doi.org/10.1145/3768740.3768798" TargetMode="External"/><Relationship Id="rId15" Type="http://schemas.openxmlformats.org/officeDocument/2006/relationships/hyperlink" Target="https://arxiv.org/abs/2501.02945v4" TargetMode="External"/><Relationship Id="rId16" Type="http://schemas.openxmlformats.org/officeDocument/2006/relationships/hyperlink" Target="https://arxiv.org/abs/2511.17529v2" TargetMode="External"/><Relationship Id="rId17" Type="http://schemas.openxmlformats.org/officeDocument/2006/relationships/hyperlink" Target="https://arxiv.org/html/2602.11139v2#S3" TargetMode="External"/><Relationship Id="rId18" Type="http://schemas.openxmlformats.org/officeDocument/2006/relationships/hyperlink" Target="file:///C:/Users/jungj/OneDrive/Desktop/%EC%97%B0%EA%B5%AC%EC%8B%A4/Tab-ICL/tmp/redesign_20260925/05_literature_decision_audit.md" TargetMode="External"/><Relationship Id="rId19" Type="http://schemas.openxmlformats.org/officeDocument/2006/relationships/hyperlink" Target="file:///C:/Users/jungj/OneDrive/Desktop/%EC%97%B0%EA%B5%AC%EC%8B%A4/Tab-ICL/tmp/redesign_20260925/07_rctl_candidate_decision.md" TargetMode="External"/><Relationship Id="rId20" Type="http://schemas.openxmlformats.org/officeDocument/2006/relationships/hyperlink" Target="file:///C:/Users/jungj/OneDrive/Desktop/%EC%97%B0%EA%B5%AC%EC%8B%A4/Tab-ICL/tmp/redesign_20260925/74_output_compression_findings.md" TargetMode="External"/><Relationship Id="rId21" Type="http://schemas.openxmlformats.org/officeDocument/2006/relationships/hyperlink" Target="file:///C:/Users/jungj/OneDrive/Desktop/%EC%97%B0%EA%B5%AC%EC%8B%A4/Tab-ICL/tmp/redesign_20260925/80_conditional_graph_findings.md" TargetMode="External"/><Relationship Id="rId22" Type="http://schemas.openxmlformats.org/officeDocument/2006/relationships/hyperlink" Target="file:///C:/Users/jungj/OneDrive/Desktop/%EC%97%B0%EA%B5%AC%EC%8B%A4/Tab-ICL/tmp/redesign_20260925/candidate_decision_index.md" TargetMode="External"/><Relationship Id="rId23" Type="http://schemas.openxmlformats.org/officeDocument/2006/relationships/hyperlink" Target="file:///C:/Users/jungj/OneDrive/Desktop/%EC%97%B0%EA%B5%AC%EC%8B%A4/Tab-ICL/tmp/redesign_20260925/84_evidence_and_workload.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TabICLv2 기반 clustering 연구의 근거 검토</dc:title>
  <dc:subject>확인된 예측 근거와 미확정 clustering 판단을 구분한 중간 검토</dc:subject>
  <dc:creator>연구 검토 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